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516A3" w14:textId="77777777" w:rsidR="00C565B9" w:rsidRDefault="00C565B9">
      <w:pPr>
        <w:spacing w:after="0"/>
        <w:jc w:val="left"/>
        <w:rPr>
          <w:rFonts w:ascii="Arial" w:eastAsia="Arial" w:hAnsi="Arial"/>
          <w:b/>
          <w:sz w:val="36"/>
          <w:szCs w:val="36"/>
        </w:rPr>
      </w:pPr>
    </w:p>
    <w:p w14:paraId="1E422EF4" w14:textId="77777777" w:rsidR="00C565B9" w:rsidRDefault="00B06A6C">
      <w:pPr>
        <w:jc w:val="left"/>
        <w:rPr>
          <w:rFonts w:ascii="Arial" w:eastAsia="Arial" w:hAnsi="Arial"/>
          <w:b/>
          <w:sz w:val="36"/>
          <w:szCs w:val="36"/>
        </w:rPr>
      </w:pPr>
      <w:r>
        <w:rPr>
          <w:rFonts w:ascii="Arial" w:eastAsia="Arial" w:hAnsi="Arial"/>
          <w:b/>
          <w:sz w:val="36"/>
          <w:szCs w:val="36"/>
        </w:rPr>
        <w:t>Schedule 7 (Staff Transfer)</w:t>
      </w:r>
    </w:p>
    <w:p w14:paraId="6C1001E8" w14:textId="77777777" w:rsidR="00C565B9" w:rsidRDefault="00B06A6C">
      <w:pPr>
        <w:jc w:val="left"/>
        <w:rPr>
          <w:rFonts w:ascii="Arial" w:eastAsia="Arial" w:hAnsi="Arial"/>
          <w:sz w:val="24"/>
          <w:szCs w:val="24"/>
        </w:rPr>
      </w:pPr>
      <w:r>
        <w:rPr>
          <w:rFonts w:ascii="Arial" w:eastAsia="Arial" w:hAnsi="Arial"/>
          <w:sz w:val="24"/>
          <w:szCs w:val="24"/>
          <w:highlight w:val="yellow"/>
        </w:rPr>
        <w:t>[</w:t>
      </w:r>
      <w:r>
        <w:rPr>
          <w:rFonts w:ascii="Arial" w:eastAsia="Arial" w:hAnsi="Arial"/>
          <w:b/>
          <w:sz w:val="24"/>
          <w:szCs w:val="24"/>
          <w:highlight w:val="yellow"/>
        </w:rPr>
        <w:t xml:space="preserve">Guidance note: </w:t>
      </w: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3D26151F" w14:textId="77777777" w:rsidR="00C565B9" w:rsidRDefault="00B06A6C">
      <w:pPr>
        <w:jc w:val="left"/>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79051934" w14:textId="77777777" w:rsidR="00C565B9" w:rsidRDefault="00B06A6C">
      <w:pPr>
        <w:jc w:val="left"/>
        <w:rPr>
          <w:rFonts w:ascii="Arial" w:eastAsia="Arial" w:hAnsi="Arial"/>
          <w:sz w:val="24"/>
          <w:szCs w:val="24"/>
        </w:rPr>
      </w:pPr>
      <w:bookmarkStart w:id="0" w:name="_heading=h.gjdgxs" w:colFirst="0" w:colLast="0"/>
      <w:bookmarkEnd w:id="0"/>
      <w:r>
        <w:rPr>
          <w:rFonts w:ascii="Arial" w:eastAsia="Arial" w:hAnsi="Arial"/>
          <w:sz w:val="24"/>
          <w:szCs w:val="24"/>
        </w:rPr>
        <w:t>If there is a staff transfer from former/incumbent supplier on entry (2nd generation), Part B shall apply.</w:t>
      </w:r>
    </w:p>
    <w:p w14:paraId="53A4E304" w14:textId="77777777" w:rsidR="00C565B9" w:rsidRDefault="00B06A6C">
      <w:pPr>
        <w:jc w:val="left"/>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77A5E57E" w14:textId="77777777" w:rsidR="00C565B9" w:rsidRDefault="00B06A6C">
      <w:pPr>
        <w:jc w:val="left"/>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Award Form which Annex shall apply (either D1 (CSPS), D2 (NHSPS), or D3 (LGPS)). Part D pensions may also apply where there is not a TUPE transfer for example where the incumbent provider is successful.</w:t>
      </w:r>
    </w:p>
    <w:p w14:paraId="32621932" w14:textId="77777777" w:rsidR="00C565B9" w:rsidRDefault="00B06A6C">
      <w:pPr>
        <w:jc w:val="left"/>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86D67E8" w14:textId="77777777" w:rsidR="00C565B9" w:rsidRDefault="00B06A6C">
      <w:pPr>
        <w:jc w:val="left"/>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183819D5" w14:textId="77777777" w:rsidR="00C565B9" w:rsidRDefault="00B06A6C">
      <w:pPr>
        <w:jc w:val="left"/>
        <w:rPr>
          <w:rFonts w:ascii="Arial" w:eastAsia="Arial" w:hAnsi="Arial"/>
          <w:sz w:val="24"/>
          <w:szCs w:val="24"/>
        </w:rPr>
      </w:pPr>
      <w:r>
        <w:rPr>
          <w:rFonts w:ascii="Arial" w:eastAsia="Arial" w:hAnsi="Arial"/>
          <w:sz w:val="24"/>
          <w:szCs w:val="24"/>
        </w:rPr>
        <w:t>Part E (dealing with staff transfer on exit) shall apply to every Contract.</w:t>
      </w:r>
    </w:p>
    <w:p w14:paraId="3B43BF3F" w14:textId="77777777" w:rsidR="00C565B9" w:rsidRDefault="00C565B9">
      <w:pPr>
        <w:jc w:val="left"/>
        <w:rPr>
          <w:rFonts w:ascii="Arial" w:eastAsia="Arial" w:hAnsi="Arial"/>
          <w:sz w:val="24"/>
          <w:szCs w:val="24"/>
        </w:rPr>
      </w:pPr>
    </w:p>
    <w:p w14:paraId="310C9693" w14:textId="77777777" w:rsidR="00C565B9" w:rsidRDefault="00C565B9">
      <w:pPr>
        <w:keepNext/>
        <w:pBdr>
          <w:top w:val="nil"/>
          <w:left w:val="nil"/>
          <w:bottom w:val="nil"/>
          <w:right w:val="nil"/>
          <w:between w:val="nil"/>
        </w:pBdr>
        <w:jc w:val="left"/>
        <w:rPr>
          <w:rFonts w:ascii="Arial" w:eastAsia="Arial" w:hAnsi="Arial"/>
          <w:b/>
          <w:smallCaps/>
          <w:color w:val="000000"/>
          <w:sz w:val="24"/>
          <w:szCs w:val="24"/>
        </w:rPr>
      </w:pPr>
    </w:p>
    <w:p w14:paraId="4AF95234" w14:textId="77777777" w:rsidR="00C565B9" w:rsidRDefault="00B06A6C">
      <w:pPr>
        <w:keepNext/>
        <w:numPr>
          <w:ilvl w:val="0"/>
          <w:numId w:val="14"/>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9D375B2" w14:textId="77777777" w:rsidR="00C565B9" w:rsidRDefault="00B06A6C">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Schedule 1 (Definitions):</w:t>
      </w:r>
    </w:p>
    <w:tbl>
      <w:tblPr>
        <w:tblStyle w:val="a"/>
        <w:tblW w:w="9026" w:type="dxa"/>
        <w:tblInd w:w="-567" w:type="dxa"/>
        <w:tblLayout w:type="fixed"/>
        <w:tblLook w:val="0400" w:firstRow="0" w:lastRow="0" w:firstColumn="0" w:lastColumn="0" w:noHBand="0" w:noVBand="1"/>
      </w:tblPr>
      <w:tblGrid>
        <w:gridCol w:w="2917"/>
        <w:gridCol w:w="6109"/>
      </w:tblGrid>
      <w:tr w:rsidR="00C565B9" w14:paraId="2CCD2FAF" w14:textId="77777777" w:rsidTr="00C81C1F">
        <w:tc>
          <w:tcPr>
            <w:tcW w:w="2917" w:type="dxa"/>
          </w:tcPr>
          <w:p w14:paraId="20572195" w14:textId="77777777" w:rsidR="00C565B9" w:rsidRDefault="00B06A6C" w:rsidP="00C81C1F">
            <w:pPr>
              <w:pBdr>
                <w:top w:val="nil"/>
                <w:left w:val="nil"/>
                <w:bottom w:val="nil"/>
                <w:right w:val="nil"/>
                <w:between w:val="nil"/>
              </w:pBdr>
              <w:spacing w:after="0"/>
              <w:ind w:left="733" w:hanging="736"/>
              <w:jc w:val="left"/>
              <w:rPr>
                <w:rFonts w:ascii="Arial" w:eastAsia="Arial" w:hAnsi="Arial"/>
                <w:b/>
                <w:color w:val="000000"/>
                <w:sz w:val="24"/>
                <w:szCs w:val="24"/>
                <w:highlight w:val="green"/>
              </w:rPr>
            </w:pPr>
            <w:r>
              <w:rPr>
                <w:rFonts w:ascii="Arial" w:eastAsia="Arial" w:hAnsi="Arial"/>
                <w:b/>
                <w:color w:val="000000"/>
                <w:sz w:val="24"/>
                <w:szCs w:val="24"/>
              </w:rPr>
              <w:t>"Employee Liability"</w:t>
            </w:r>
          </w:p>
        </w:tc>
        <w:tc>
          <w:tcPr>
            <w:tcW w:w="6109" w:type="dxa"/>
          </w:tcPr>
          <w:p w14:paraId="49B00488" w14:textId="77777777" w:rsidR="00C565B9" w:rsidRDefault="00B06A6C" w:rsidP="00C81C1F">
            <w:pPr>
              <w:tabs>
                <w:tab w:val="left" w:pos="-179"/>
                <w:tab w:val="left" w:pos="-9"/>
              </w:tabs>
              <w:spacing w:after="120"/>
              <w:jc w:val="left"/>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0AAA01D"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color w:val="000000"/>
                <w:sz w:val="24"/>
                <w:szCs w:val="24"/>
              </w:rPr>
              <w:lastRenderedPageBreak/>
              <w:t>redundancy</w:t>
            </w:r>
            <w:r>
              <w:rPr>
                <w:rFonts w:ascii="Arial" w:eastAsia="Arial" w:hAnsi="Arial"/>
                <w:sz w:val="24"/>
                <w:szCs w:val="24"/>
              </w:rPr>
              <w:t xml:space="preserve"> payments including contractual or enhanced redundancy costs, termination costs and notice payments; </w:t>
            </w:r>
          </w:p>
        </w:tc>
      </w:tr>
      <w:tr w:rsidR="00C565B9" w14:paraId="0E5F05B5" w14:textId="77777777" w:rsidTr="00C81C1F">
        <w:tc>
          <w:tcPr>
            <w:tcW w:w="2917" w:type="dxa"/>
          </w:tcPr>
          <w:p w14:paraId="56AB1A6D"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7D21A25F"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C565B9" w14:paraId="47F1874C" w14:textId="77777777" w:rsidTr="00C81C1F">
        <w:tc>
          <w:tcPr>
            <w:tcW w:w="2917" w:type="dxa"/>
          </w:tcPr>
          <w:p w14:paraId="6E6AB982"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0F5B9861"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C565B9" w14:paraId="59D62D76" w14:textId="77777777" w:rsidTr="00C81C1F">
        <w:tc>
          <w:tcPr>
            <w:tcW w:w="2917" w:type="dxa"/>
          </w:tcPr>
          <w:p w14:paraId="17E04215"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1153E072"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C565B9" w14:paraId="1469446D" w14:textId="77777777" w:rsidTr="00C81C1F">
        <w:tc>
          <w:tcPr>
            <w:tcW w:w="2917" w:type="dxa"/>
          </w:tcPr>
          <w:p w14:paraId="089ADC9D"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380E3739"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 xml:space="preserve">outstanding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C565B9" w14:paraId="355C0FEF" w14:textId="77777777" w:rsidTr="00C81C1F">
        <w:tc>
          <w:tcPr>
            <w:tcW w:w="2917" w:type="dxa"/>
          </w:tcPr>
          <w:p w14:paraId="2572BE59" w14:textId="77777777" w:rsidR="00C565B9" w:rsidRDefault="00C565B9">
            <w:pPr>
              <w:keepNext/>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3DFD3160"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claims whether in tort, contract or statute or otherwise;</w:t>
            </w:r>
          </w:p>
        </w:tc>
      </w:tr>
      <w:tr w:rsidR="00C565B9" w14:paraId="70236500" w14:textId="77777777" w:rsidTr="00C81C1F">
        <w:tc>
          <w:tcPr>
            <w:tcW w:w="2917" w:type="dxa"/>
          </w:tcPr>
          <w:p w14:paraId="27DC186C"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41A19D7C"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investigation by the Equality and Human Rights Commission or other enforcement, regulatory or supervisory body and of implementing any requirements which may arise from such investigation;</w:t>
            </w:r>
          </w:p>
        </w:tc>
      </w:tr>
      <w:tr w:rsidR="00C565B9" w14:paraId="7187B7AD" w14:textId="77777777" w:rsidTr="00C81C1F">
        <w:tc>
          <w:tcPr>
            <w:tcW w:w="2917" w:type="dxa"/>
          </w:tcPr>
          <w:p w14:paraId="18E6B1BB"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653D08CE"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C565B9" w14:paraId="0278952E" w14:textId="77777777" w:rsidTr="00C81C1F">
        <w:tc>
          <w:tcPr>
            <w:tcW w:w="2917" w:type="dxa"/>
          </w:tcPr>
          <w:p w14:paraId="7E9E56D0" w14:textId="77777777" w:rsidR="00C565B9" w:rsidRDefault="00B06A6C" w:rsidP="00C81C1F">
            <w:pPr>
              <w:pBdr>
                <w:top w:val="nil"/>
                <w:left w:val="nil"/>
                <w:bottom w:val="nil"/>
                <w:right w:val="nil"/>
                <w:between w:val="nil"/>
              </w:pBdr>
              <w:spacing w:before="120" w:after="120"/>
              <w:ind w:left="709" w:right="-179" w:hanging="709"/>
              <w:jc w:val="left"/>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1B756A38"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the Buyer can end this contract ) or 10.6 (When the Supplier can end the contract);</w:t>
            </w:r>
          </w:p>
        </w:tc>
      </w:tr>
      <w:tr w:rsidR="00C565B9" w14:paraId="6E4EF721" w14:textId="77777777" w:rsidTr="00C81C1F">
        <w:tc>
          <w:tcPr>
            <w:tcW w:w="2917" w:type="dxa"/>
          </w:tcPr>
          <w:p w14:paraId="66FFA6FA"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78B5B789"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C565B9" w14:paraId="3C759C30" w14:textId="77777777" w:rsidTr="00C81C1F">
        <w:tc>
          <w:tcPr>
            <w:tcW w:w="2917" w:type="dxa"/>
          </w:tcPr>
          <w:p w14:paraId="666BB0A3"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4C643C99"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 xml:space="preserve">in relation to a Relevant Transfer, the date upon which the Relevant Transfer takes place, and for the </w:t>
            </w:r>
            <w:r>
              <w:rPr>
                <w:rFonts w:ascii="Arial" w:eastAsia="Arial" w:hAnsi="Arial"/>
                <w:color w:val="000000"/>
                <w:sz w:val="24"/>
                <w:szCs w:val="24"/>
              </w:rPr>
              <w:lastRenderedPageBreak/>
              <w:t>purposes of Part D: Pensions, shall include the Start Date, where appropriate;</w:t>
            </w:r>
          </w:p>
        </w:tc>
      </w:tr>
      <w:tr w:rsidR="00C565B9" w14:paraId="738A246E" w14:textId="77777777" w:rsidTr="00C81C1F">
        <w:tc>
          <w:tcPr>
            <w:tcW w:w="2917" w:type="dxa"/>
          </w:tcPr>
          <w:p w14:paraId="06F5B8C7"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lastRenderedPageBreak/>
              <w:t>"Supplier's Final Supplier Personnel List"</w:t>
            </w:r>
          </w:p>
        </w:tc>
        <w:tc>
          <w:tcPr>
            <w:tcW w:w="6109" w:type="dxa"/>
          </w:tcPr>
          <w:p w14:paraId="1BBE6DE1"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rPr>
            </w:pPr>
            <w:r>
              <w:rPr>
                <w:rFonts w:ascii="Arial" w:eastAsia="Arial" w:hAnsi="Arial"/>
                <w:color w:val="000000"/>
                <w:sz w:val="24"/>
                <w:szCs w:val="24"/>
              </w:rPr>
              <w:t>a list provided by the Supplier of all Supplier Personnel whose will transfer under the Employment Regulations on the Service Transfer Date;</w:t>
            </w:r>
          </w:p>
        </w:tc>
      </w:tr>
      <w:tr w:rsidR="00C565B9" w14:paraId="02ADFFDE" w14:textId="77777777" w:rsidTr="00C81C1F">
        <w:tc>
          <w:tcPr>
            <w:tcW w:w="2917" w:type="dxa"/>
          </w:tcPr>
          <w:p w14:paraId="15A48C0C"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649D540A" w14:textId="77777777" w:rsidR="00C565B9" w:rsidRDefault="00B06A6C" w:rsidP="00C81C1F">
            <w:pPr>
              <w:pBdr>
                <w:top w:val="nil"/>
                <w:left w:val="nil"/>
                <w:bottom w:val="nil"/>
                <w:right w:val="nil"/>
                <w:between w:val="nil"/>
              </w:pBdr>
              <w:spacing w:before="120" w:after="120"/>
              <w:ind w:left="34" w:hanging="34"/>
              <w:jc w:val="left"/>
              <w:rPr>
                <w:rFonts w:ascii="Arial" w:eastAsia="Arial" w:hAnsi="Arial"/>
                <w:color w:val="000000"/>
                <w:sz w:val="24"/>
                <w:szCs w:val="24"/>
              </w:rPr>
            </w:pPr>
            <w:r>
              <w:rPr>
                <w:rFonts w:ascii="Arial" w:eastAsia="Arial" w:hAnsi="Arial"/>
                <w:color w:val="000000"/>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C565B9" w14:paraId="6DD66C25" w14:textId="77777777" w:rsidTr="00C81C1F">
        <w:tc>
          <w:tcPr>
            <w:tcW w:w="2917" w:type="dxa"/>
          </w:tcPr>
          <w:p w14:paraId="683DA144" w14:textId="77777777" w:rsidR="00C565B9" w:rsidRDefault="00B06A6C">
            <w:pPr>
              <w:keepNext/>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14:paraId="1F60A1B2" w14:textId="77777777" w:rsidR="00C565B9" w:rsidRDefault="00B06A6C" w:rsidP="00C81C1F">
            <w:pPr>
              <w:keepNext/>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5927FB09" w14:textId="77777777" w:rsidR="00C565B9" w:rsidRDefault="00B06A6C">
            <w:pPr>
              <w:keepNext/>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C565B9" w14:paraId="5F090151" w14:textId="77777777" w:rsidTr="00C81C1F">
        <w:tc>
          <w:tcPr>
            <w:tcW w:w="2917" w:type="dxa"/>
          </w:tcPr>
          <w:p w14:paraId="55FFCC83"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5155AE35"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C565B9" w14:paraId="4AE1F1AD" w14:textId="77777777" w:rsidTr="00C81C1F">
        <w:tc>
          <w:tcPr>
            <w:tcW w:w="2917" w:type="dxa"/>
          </w:tcPr>
          <w:p w14:paraId="77846700"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2D705E64" w14:textId="77777777" w:rsidR="00C565B9" w:rsidRDefault="00B06A6C">
            <w:pPr>
              <w:pBdr>
                <w:top w:val="nil"/>
                <w:left w:val="nil"/>
                <w:bottom w:val="nil"/>
                <w:right w:val="nil"/>
                <w:between w:val="nil"/>
              </w:pBdr>
              <w:spacing w:before="120" w:after="120"/>
              <w:ind w:hanging="709"/>
              <w:jc w:val="left"/>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C565B9" w14:paraId="674DE40D" w14:textId="77777777" w:rsidTr="00C81C1F">
        <w:tc>
          <w:tcPr>
            <w:tcW w:w="2917" w:type="dxa"/>
          </w:tcPr>
          <w:p w14:paraId="59016166"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250260F2"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C565B9" w14:paraId="0FC582D3" w14:textId="77777777" w:rsidTr="00C81C1F">
        <w:tc>
          <w:tcPr>
            <w:tcW w:w="2917" w:type="dxa"/>
          </w:tcPr>
          <w:p w14:paraId="3232B325"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5E0F65E9"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C565B9" w14:paraId="59152B1D" w14:textId="77777777" w:rsidTr="00C81C1F">
        <w:tc>
          <w:tcPr>
            <w:tcW w:w="2917" w:type="dxa"/>
          </w:tcPr>
          <w:p w14:paraId="273890B3"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013F7C6"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C565B9" w14:paraId="1369DCDA" w14:textId="77777777" w:rsidTr="00C81C1F">
        <w:tc>
          <w:tcPr>
            <w:tcW w:w="2917" w:type="dxa"/>
          </w:tcPr>
          <w:p w14:paraId="1C23DC9E"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26D34E26"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C565B9" w14:paraId="53727ED8" w14:textId="77777777" w:rsidTr="00C81C1F">
        <w:tc>
          <w:tcPr>
            <w:tcW w:w="2917" w:type="dxa"/>
          </w:tcPr>
          <w:p w14:paraId="5F4A50E3"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10E0F6C"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C565B9" w14:paraId="0A09177A" w14:textId="77777777" w:rsidTr="00C81C1F">
        <w:tc>
          <w:tcPr>
            <w:tcW w:w="2917" w:type="dxa"/>
          </w:tcPr>
          <w:p w14:paraId="6A7911C9"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1AC4CBF"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C565B9" w14:paraId="3AAF5BD1" w14:textId="77777777" w:rsidTr="00C81C1F">
        <w:tc>
          <w:tcPr>
            <w:tcW w:w="2917" w:type="dxa"/>
          </w:tcPr>
          <w:p w14:paraId="19D65FDD"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50287222"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any other "employee liability information" as such term is defined in regulation 11 of the Employment Regulations;</w:t>
            </w:r>
          </w:p>
        </w:tc>
      </w:tr>
      <w:tr w:rsidR="00C565B9" w14:paraId="3385BF8B" w14:textId="77777777" w:rsidTr="00C81C1F">
        <w:tc>
          <w:tcPr>
            <w:tcW w:w="2917" w:type="dxa"/>
          </w:tcPr>
          <w:p w14:paraId="7462361E"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76C30AE4"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C565B9" w14:paraId="5A2E8226" w14:textId="77777777" w:rsidTr="00C81C1F">
        <w:tc>
          <w:tcPr>
            <w:tcW w:w="2917" w:type="dxa"/>
          </w:tcPr>
          <w:p w14:paraId="2D1214EF"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29B9DBB5"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 and whose names are provided to the Supplier on or prior to the Relevant Transfer Date;</w:t>
            </w:r>
          </w:p>
        </w:tc>
      </w:tr>
      <w:tr w:rsidR="00C565B9" w14:paraId="0D71B522" w14:textId="77777777" w:rsidTr="00C81C1F">
        <w:tc>
          <w:tcPr>
            <w:tcW w:w="2917" w:type="dxa"/>
          </w:tcPr>
          <w:p w14:paraId="4543CC03"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54F6719F"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5E3EA10E" w14:textId="77777777" w:rsidR="00C565B9" w:rsidRDefault="00B06A6C">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INTERPRETATION</w:t>
      </w:r>
    </w:p>
    <w:p w14:paraId="23B58FC6" w14:textId="77777777" w:rsidR="00C565B9" w:rsidRDefault="00B06A6C">
      <w:pPr>
        <w:ind w:left="357"/>
        <w:jc w:val="left"/>
        <w:rPr>
          <w:rFonts w:ascii="Arial" w:eastAsia="Arial" w:hAnsi="Arial"/>
          <w:b/>
          <w:sz w:val="24"/>
          <w:szCs w:val="24"/>
        </w:rPr>
      </w:pPr>
      <w:r>
        <w:rPr>
          <w:rFonts w:ascii="Arial" w:eastAsia="Arial" w:hAnsi="Arial"/>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75951CF" w14:textId="77777777" w:rsidR="00C565B9" w:rsidRDefault="00B06A6C">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08A4327E" w14:textId="77777777" w:rsidR="00C565B9" w:rsidRDefault="00B06A6C">
      <w:pPr>
        <w:ind w:left="357"/>
        <w:jc w:val="left"/>
        <w:rPr>
          <w:rFonts w:ascii="Arial" w:eastAsia="Arial" w:hAnsi="Arial"/>
          <w:sz w:val="24"/>
          <w:szCs w:val="24"/>
        </w:rPr>
      </w:pPr>
      <w:r>
        <w:rPr>
          <w:rFonts w:ascii="Arial" w:eastAsia="Arial" w:hAnsi="Arial"/>
          <w:sz w:val="24"/>
          <w:szCs w:val="24"/>
        </w:rPr>
        <w:t>Only the following parts of this Schedule shall apply to this Contract:</w:t>
      </w:r>
    </w:p>
    <w:p w14:paraId="1E31B968" w14:textId="77777777" w:rsidR="00C565B9" w:rsidRDefault="00B06A6C">
      <w:pPr>
        <w:ind w:left="357"/>
        <w:jc w:val="left"/>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Contract]</w:t>
      </w:r>
    </w:p>
    <w:p w14:paraId="74A29602"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A (Staff Transfer At Start Date – Outsourcing From the Buyer) ]</w:t>
      </w:r>
    </w:p>
    <w:p w14:paraId="1C61B2A8"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B (Staff Transfer At Start Date – Transfer From Former Supplier)]</w:t>
      </w:r>
    </w:p>
    <w:p w14:paraId="6B0F881B"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C (No Staff Transfer On Start Date)]</w:t>
      </w:r>
    </w:p>
    <w:p w14:paraId="4DE57309"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67B0A97" w14:textId="77777777"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lastRenderedPageBreak/>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69523964" w14:textId="77777777"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27098F5" w14:textId="77777777"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04A8AA80" w14:textId="77777777"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55A1AC84"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E (Staff Transfer on Exit)</w:t>
      </w:r>
    </w:p>
    <w:p w14:paraId="366430C0" w14:textId="77777777" w:rsidR="00C565B9" w:rsidRDefault="00C565B9">
      <w:pPr>
        <w:ind w:left="357"/>
        <w:jc w:val="left"/>
        <w:rPr>
          <w:rFonts w:ascii="Arial" w:eastAsia="Arial" w:hAnsi="Arial"/>
          <w:sz w:val="24"/>
          <w:szCs w:val="24"/>
        </w:rPr>
      </w:pPr>
    </w:p>
    <w:p w14:paraId="3CAF05B3" w14:textId="77777777" w:rsidR="00C565B9" w:rsidRDefault="00B06A6C">
      <w:pPr>
        <w:pStyle w:val="Heading1"/>
        <w:keepNext/>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217A769A" w14:textId="77777777" w:rsidR="00C565B9" w:rsidRDefault="00B06A6C">
      <w:pPr>
        <w:pStyle w:val="Heading1"/>
        <w:keepNext/>
        <w:jc w:val="left"/>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7224ABDD" w14:textId="77777777" w:rsidR="00C565B9" w:rsidRDefault="00B06A6C">
      <w:pPr>
        <w:keepNext/>
        <w:numPr>
          <w:ilvl w:val="0"/>
          <w:numId w:val="3"/>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14:paraId="03E226CA"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15F6BD45"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35C7C826"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4C56299A" w14:textId="77777777" w:rsidR="00C565B9" w:rsidRDefault="00B06A6C">
      <w:pPr>
        <w:numPr>
          <w:ilvl w:val="2"/>
          <w:numId w:val="3"/>
        </w:numPr>
        <w:pBdr>
          <w:top w:val="nil"/>
          <w:left w:val="nil"/>
          <w:bottom w:val="nil"/>
          <w:right w:val="nil"/>
          <w:between w:val="nil"/>
        </w:pBdr>
        <w:spacing w:before="120" w:after="120"/>
        <w:jc w:val="left"/>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2086E3F2" w14:textId="77777777" w:rsidR="00C565B9" w:rsidRDefault="00B06A6C">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71E37D13"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 </w:t>
      </w:r>
    </w:p>
    <w:p w14:paraId="3F422AA7"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686B201B"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14:paraId="70BBAB09"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will, within 5 Working Days of becoming aware of that fact, notify the Buyer in writing;</w:t>
      </w:r>
    </w:p>
    <w:p w14:paraId="6A9D6271"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Buyer may offer employment to such person, or take such other steps as it considers appropriate to resolve the matter, within 10 Working Days of receipt of notice from the Supplier;</w:t>
      </w:r>
    </w:p>
    <w:p w14:paraId="32D671BA"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if such offer of employment is accepted, the Supplier shall immediately release the person from its employment;</w:t>
      </w:r>
    </w:p>
    <w:p w14:paraId="67D5BCE4"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0DBC6C3F" w14:textId="77777777" w:rsidR="00C565B9" w:rsidRDefault="00B06A6C">
      <w:pPr>
        <w:ind w:left="993"/>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14:paraId="10915234"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The indemnity in Paragraph 2.3 shall not apply to any claim:</w:t>
      </w:r>
    </w:p>
    <w:p w14:paraId="320B59E7"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7884B18E"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Supplier and/or any Sub-contractor neglected to follow a fair dismissal procedure.</w:t>
      </w:r>
    </w:p>
    <w:p w14:paraId="159C8F19"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The indemnity in Paragraph 2.3 shall not apply to any termination of employment occurring later than 3 Months from the Relevant Transfer Date.</w:t>
      </w:r>
    </w:p>
    <w:p w14:paraId="322A64F6"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1F6FF1A8" w14:textId="77777777" w:rsidR="00C565B9" w:rsidRDefault="00B06A6C">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bookmarkStart w:id="12" w:name="_heading=h.26in1rg" w:colFirst="0" w:colLast="0"/>
      <w:bookmarkEnd w:id="12"/>
      <w:r>
        <w:rPr>
          <w:rFonts w:ascii="Arial Bold" w:eastAsia="Arial Bold" w:hAnsi="Arial Bold" w:cs="Arial Bold"/>
          <w:b/>
          <w:color w:val="000000"/>
          <w:sz w:val="24"/>
          <w:szCs w:val="24"/>
        </w:rPr>
        <w:t>Indemnities the Supplier must give and its obligations</w:t>
      </w:r>
    </w:p>
    <w:p w14:paraId="24968E07"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3ED36DC5"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5027067E"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w:t>
      </w:r>
      <w:r>
        <w:rPr>
          <w:rFonts w:ascii="Arial" w:eastAsia="Arial" w:hAnsi="Arial"/>
          <w:color w:val="000000"/>
          <w:sz w:val="24"/>
          <w:szCs w:val="24"/>
        </w:rPr>
        <w:lastRenderedPageBreak/>
        <w:t>PAYE, national insurance contributions and pension contributions and any other sums due under Part D: Pensions.</w:t>
      </w:r>
    </w:p>
    <w:p w14:paraId="0430E725" w14:textId="77777777" w:rsidR="00C565B9" w:rsidRDefault="00B06A6C">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632021F9" w14:textId="77777777" w:rsidR="00C565B9" w:rsidRDefault="00B06A6C">
      <w:pPr>
        <w:ind w:left="357"/>
        <w:jc w:val="left"/>
        <w:rPr>
          <w:rFonts w:ascii="Arial" w:eastAsia="Arial" w:hAnsi="Arial"/>
          <w:sz w:val="24"/>
          <w:szCs w:val="24"/>
        </w:rPr>
      </w:pPr>
      <w:r>
        <w:rPr>
          <w:rFonts w:ascii="Arial" w:eastAsia="Arial" w:hAnsi="Arial"/>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62C43BC0" w14:textId="77777777" w:rsidR="00C565B9" w:rsidRDefault="00B06A6C">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1D351CFA"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19A56FB3"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Supplier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7ABAE770"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6F4DA37A" w14:textId="77777777" w:rsidR="00C565B9" w:rsidRDefault="00B06A6C">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10857FD3"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14:paraId="6C8588E8"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Buyer Employees; and</w:t>
      </w:r>
    </w:p>
    <w:p w14:paraId="59E22284"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14:paraId="53531411" w14:textId="77777777" w:rsidR="00C565B9" w:rsidRDefault="00B06A6C">
      <w:pPr>
        <w:pStyle w:val="Heading1"/>
        <w:jc w:val="left"/>
        <w:rPr>
          <w:rFonts w:ascii="Arial Bold" w:eastAsia="Arial Bold" w:hAnsi="Arial Bold" w:cs="Arial Bold"/>
          <w:sz w:val="36"/>
          <w:szCs w:val="36"/>
        </w:rPr>
      </w:pPr>
      <w:bookmarkStart w:id="17" w:name="_heading=h.2jxsxqh" w:colFirst="0" w:colLast="0"/>
      <w:bookmarkEnd w:id="17"/>
      <w:r>
        <w:br w:type="page"/>
      </w:r>
      <w:r>
        <w:rPr>
          <w:rFonts w:ascii="Arial Bold" w:eastAsia="Arial Bold" w:hAnsi="Arial Bold" w:cs="Arial Bold"/>
          <w:sz w:val="36"/>
          <w:szCs w:val="36"/>
        </w:rPr>
        <w:lastRenderedPageBreak/>
        <w:t xml:space="preserve">Part B: Staff transfer at the Start Date </w:t>
      </w:r>
    </w:p>
    <w:p w14:paraId="3535C284" w14:textId="77777777" w:rsidR="00C565B9" w:rsidRDefault="00B06A6C">
      <w:pPr>
        <w:pStyle w:val="Heading1"/>
        <w:jc w:val="left"/>
        <w:rPr>
          <w:rFonts w:ascii="Arial Bold" w:eastAsia="Arial Bold" w:hAnsi="Arial Bold" w:cs="Arial Bold"/>
          <w:sz w:val="36"/>
          <w:szCs w:val="36"/>
        </w:rPr>
      </w:pPr>
      <w:r>
        <w:rPr>
          <w:rFonts w:ascii="Arial Bold" w:eastAsia="Arial Bold" w:hAnsi="Arial Bold" w:cs="Arial Bold"/>
          <w:sz w:val="36"/>
          <w:szCs w:val="36"/>
        </w:rPr>
        <w:t>Transfer from a former Supplier on Re-procurement</w:t>
      </w:r>
    </w:p>
    <w:p w14:paraId="6A7422D5" w14:textId="77777777" w:rsidR="00C565B9" w:rsidRDefault="00B06A6C">
      <w:pPr>
        <w:keepNext/>
        <w:numPr>
          <w:ilvl w:val="0"/>
          <w:numId w:val="8"/>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04694044"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54D31FFB"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427ED1A0"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163CC11E"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14:paraId="33C95525"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Indemnities given by the Former Supplier</w:t>
      </w:r>
    </w:p>
    <w:p w14:paraId="4DD43D97"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624B98D4"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0" w:name="_heading=h.1y810tw" w:colFirst="0" w:colLast="0"/>
      <w:bookmarkEnd w:id="20"/>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0932E818"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 </w:t>
      </w:r>
    </w:p>
    <w:p w14:paraId="00FE837D"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the Supplier will within 5 Working Days of becoming aware of that fact notify the Buyer and the relevant Former Supplier in writing;</w:t>
      </w:r>
    </w:p>
    <w:p w14:paraId="3F0710AD"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lastRenderedPageBreak/>
        <w:t>the Former Supplier may offer employment to such person, or take such other steps as it considers appropriate to resolve the matter, within 10 Working Days of receipt of notice from the Supplier;</w:t>
      </w:r>
    </w:p>
    <w:p w14:paraId="0D179485"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14:paraId="5CA95ED3"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68A79A71" w14:textId="77777777" w:rsidR="00C565B9" w:rsidRDefault="00B06A6C">
      <w:pPr>
        <w:pStyle w:val="Heading4"/>
        <w:keepLines w:val="0"/>
        <w:ind w:left="992"/>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w:t>
      </w:r>
    </w:p>
    <w:p w14:paraId="00DCE06F"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The indemnity in Paragraph 2.3 shall not apply to any claim:</w:t>
      </w:r>
    </w:p>
    <w:p w14:paraId="349AADB5"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14:paraId="2D06D91D"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that the termination of employment was unfair because the Supplier and/or Sub-contractor neglected to follow a fair dismissal procedure.</w:t>
      </w:r>
    </w:p>
    <w:p w14:paraId="7AC40323"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The indemnity in Paragraph 2.3 shall not apply to any termination of employment occurring later than 3 Months from the Relevant Transfer Date.</w:t>
      </w:r>
    </w:p>
    <w:p w14:paraId="4CB956DA"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7D45D876"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7B8E1CF3"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8" w:name="_heading=h.1pxezwc" w:colFirst="0" w:colLast="0"/>
      <w:bookmarkEnd w:id="28"/>
      <w:r>
        <w:rPr>
          <w:rFonts w:ascii="Arial" w:eastAsia="Arial" w:hAnsi="Arial"/>
          <w:color w:val="000000"/>
          <w:sz w:val="24"/>
          <w:szCs w:val="24"/>
        </w:rPr>
        <w:t>Subject to Paragraph 3.1, the Supplier shall indemnify the Buyer, and  the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15F9A0AC"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w:t>
      </w:r>
      <w:r>
        <w:rPr>
          <w:rFonts w:ascii="Arial" w:eastAsia="Arial" w:hAnsi="Arial"/>
          <w:color w:val="000000"/>
          <w:sz w:val="24"/>
          <w:szCs w:val="24"/>
        </w:rPr>
        <w:lastRenderedPageBreak/>
        <w:t>Former Supplier’s failure to comply with its obligations under the Employment Regulations.</w:t>
      </w:r>
    </w:p>
    <w:p w14:paraId="2495ACD8"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14:paraId="1D14A374"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3BCF4978" w14:textId="77777777" w:rsidR="00C565B9" w:rsidRDefault="00B06A6C">
      <w:pPr>
        <w:ind w:left="357"/>
        <w:jc w:val="left"/>
        <w:rPr>
          <w:rFonts w:ascii="Arial" w:eastAsia="Arial" w:hAnsi="Arial"/>
          <w:sz w:val="24"/>
          <w:szCs w:val="24"/>
        </w:rPr>
      </w:pPr>
      <w:r>
        <w:rPr>
          <w:rFonts w:ascii="Arial" w:eastAsia="Arial" w:hAnsi="Arial"/>
          <w:sz w:val="24"/>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14:paraId="1A426081"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F7CFB84"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78CA022B"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Change Control Procedure.</w:t>
      </w:r>
    </w:p>
    <w:p w14:paraId="78C21857"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492CB106" w14:textId="77777777" w:rsidR="00C565B9" w:rsidRDefault="00B06A6C">
      <w:pPr>
        <w:ind w:left="357"/>
        <w:jc w:val="left"/>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529010EA"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7BE5C3C3"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14:paraId="3893F91D"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Former Supplier Employees; and</w:t>
      </w:r>
    </w:p>
    <w:p w14:paraId="1FC8AF52"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14:paraId="70FA91D6" w14:textId="77777777" w:rsidR="00C565B9" w:rsidRDefault="00C565B9">
      <w:pPr>
        <w:jc w:val="left"/>
        <w:rPr>
          <w:rFonts w:ascii="Arial" w:eastAsia="Arial" w:hAnsi="Arial"/>
          <w:sz w:val="24"/>
          <w:szCs w:val="24"/>
        </w:rPr>
      </w:pPr>
    </w:p>
    <w:p w14:paraId="0994B60C" w14:textId="77777777" w:rsidR="00C565B9" w:rsidRDefault="00B06A6C">
      <w:pPr>
        <w:pStyle w:val="Heading1"/>
        <w:numPr>
          <w:ilvl w:val="0"/>
          <w:numId w:val="4"/>
        </w:numPr>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2918A10F" w14:textId="77777777" w:rsidR="00C565B9" w:rsidRDefault="00B06A6C">
      <w:pPr>
        <w:keepNext/>
        <w:numPr>
          <w:ilvl w:val="0"/>
          <w:numId w:val="10"/>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30E786DB" w14:textId="77777777" w:rsidR="00C565B9" w:rsidRDefault="00B06A6C">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3D2D4132" w14:textId="77777777" w:rsidR="00C565B9" w:rsidRDefault="00B06A6C">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14:paraId="0C2AF981"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will, within 5 Working Days of becoming aware of that fact, notify the Buyer in writing;</w:t>
      </w:r>
    </w:p>
    <w:p w14:paraId="67B27146"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may offer employment to such person, or take such other steps as it considered appropriate to resolve the matter, within 10 Working Days of receipt of notice from the Supplier;</w:t>
      </w:r>
    </w:p>
    <w:p w14:paraId="43B07919"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14:paraId="642298C9"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if after the period referred to in Paragraph 1.2.2 no such offer has been made, or such offer has been made but not accepted, the Supplier may within 5 Working Days give notice to terminate the employment of such person;</w:t>
      </w:r>
    </w:p>
    <w:p w14:paraId="1E4C35A8" w14:textId="77777777" w:rsidR="00C565B9" w:rsidRDefault="00B06A6C">
      <w:pPr>
        <w:keepNext/>
        <w:ind w:left="993"/>
        <w:jc w:val="left"/>
        <w:rPr>
          <w:rFonts w:ascii="Arial" w:eastAsia="Arial" w:hAnsi="Arial"/>
          <w:sz w:val="24"/>
          <w:szCs w:val="24"/>
        </w:rPr>
      </w:pPr>
      <w:r>
        <w:rPr>
          <w:rFonts w:ascii="Arial" w:eastAsia="Arial" w:hAnsi="Arial"/>
          <w:sz w:val="24"/>
          <w:szCs w:val="24"/>
        </w:rPr>
        <w:t>and subject to the Supplier's compliance with Paragraphs 1.2.1 to 1.2.4:</w:t>
      </w:r>
    </w:p>
    <w:p w14:paraId="6CB33151" w14:textId="77777777" w:rsidR="00C565B9" w:rsidRDefault="00B06A6C">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Buyer will indemnify the Supplier and/or the relevant Sub-contractor against all Employee Liabilities arising out of the termination of the employment of any of the Buyer's employees referred to in Paragraph 1.2; and </w:t>
      </w:r>
    </w:p>
    <w:p w14:paraId="3177CE9D" w14:textId="77777777" w:rsidR="00C565B9" w:rsidRDefault="00B06A6C">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1.2.</w:t>
      </w:r>
    </w:p>
    <w:p w14:paraId="5C3E1CF3" w14:textId="77777777" w:rsidR="00C565B9" w:rsidRDefault="00B06A6C">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The indemnities in Paragraph 1.2 shall not apply to any claim:</w:t>
      </w:r>
    </w:p>
    <w:p w14:paraId="55E96DCB"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7725E494"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 follow a fair dismissal procedure</w:t>
      </w:r>
    </w:p>
    <w:p w14:paraId="03BEE7D2" w14:textId="77777777" w:rsidR="00C565B9" w:rsidRDefault="00B06A6C">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lastRenderedPageBreak/>
        <w:t>The indemnities in Paragraph 1.2 shall not apply to any termination of employment occurring later than 3 Months from the Start Date.</w:t>
      </w:r>
    </w:p>
    <w:p w14:paraId="4DD0260D" w14:textId="77777777" w:rsidR="00C565B9" w:rsidRDefault="00B06A6C">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4550947E" w14:textId="77777777" w:rsidR="00C565B9" w:rsidRDefault="00B06A6C">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3F5D8276" w14:textId="77777777" w:rsidR="00C565B9" w:rsidRDefault="00B06A6C">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0162B6CC" w14:textId="77777777" w:rsidR="00C565B9" w:rsidRDefault="00B06A6C">
      <w:pPr>
        <w:pStyle w:val="Heading1"/>
        <w:keepNext/>
        <w:jc w:val="left"/>
        <w:rPr>
          <w:rFonts w:ascii="Arial Bold" w:eastAsia="Arial Bold" w:hAnsi="Arial Bold" w:cs="Arial Bold"/>
          <w:b w:val="0"/>
          <w:sz w:val="36"/>
          <w:szCs w:val="36"/>
        </w:rPr>
      </w:pPr>
      <w:r>
        <w:br w:type="page"/>
      </w:r>
      <w:r>
        <w:rPr>
          <w:rFonts w:ascii="Arial Bold" w:eastAsia="Arial Bold" w:hAnsi="Arial Bold" w:cs="Arial Bold"/>
          <w:sz w:val="36"/>
          <w:szCs w:val="36"/>
        </w:rPr>
        <w:lastRenderedPageBreak/>
        <w:t>Part D: Pensions</w:t>
      </w:r>
    </w:p>
    <w:p w14:paraId="430B5FFD" w14:textId="77777777" w:rsidR="00C565B9" w:rsidRDefault="00B06A6C">
      <w:pPr>
        <w:keepNext/>
        <w:numPr>
          <w:ilvl w:val="0"/>
          <w:numId w:val="1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66E4960" w14:textId="77777777" w:rsidR="00C565B9" w:rsidRDefault="00B06A6C">
      <w:pPr>
        <w:keepNext/>
        <w:ind w:left="357"/>
        <w:jc w:val="left"/>
        <w:rPr>
          <w:rFonts w:ascii="Arial" w:eastAsia="Arial" w:hAnsi="Arial"/>
          <w:sz w:val="24"/>
          <w:szCs w:val="24"/>
        </w:rPr>
      </w:pPr>
      <w:r>
        <w:rPr>
          <w:rFonts w:ascii="Arial" w:eastAsia="Arial" w:hAnsi="Arial"/>
          <w:sz w:val="24"/>
          <w:szCs w:val="24"/>
        </w:rPr>
        <w:t>In this Part D, the following words have the following meanings and they shall supplement Joint Schedule 1 (Definitions), and shall be deemed to include the definitions set out in the Annexes:</w:t>
      </w:r>
    </w:p>
    <w:tbl>
      <w:tblPr>
        <w:tblStyle w:val="a0"/>
        <w:tblW w:w="9026" w:type="dxa"/>
        <w:tblLayout w:type="fixed"/>
        <w:tblLook w:val="0400" w:firstRow="0" w:lastRow="0" w:firstColumn="0" w:lastColumn="0" w:noHBand="0" w:noVBand="1"/>
      </w:tblPr>
      <w:tblGrid>
        <w:gridCol w:w="3050"/>
        <w:gridCol w:w="5976"/>
      </w:tblGrid>
      <w:tr w:rsidR="00C565B9" w14:paraId="695EDDCB" w14:textId="77777777">
        <w:tc>
          <w:tcPr>
            <w:tcW w:w="3050" w:type="dxa"/>
            <w:shd w:val="clear" w:color="auto" w:fill="auto"/>
          </w:tcPr>
          <w:p w14:paraId="7001AC5B"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"Actuary"</w:t>
            </w:r>
          </w:p>
        </w:tc>
        <w:tc>
          <w:tcPr>
            <w:tcW w:w="5976" w:type="dxa"/>
            <w:shd w:val="clear" w:color="auto" w:fill="auto"/>
          </w:tcPr>
          <w:p w14:paraId="0B3E2004"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C565B9" w14:paraId="6414835D" w14:textId="77777777">
        <w:tc>
          <w:tcPr>
            <w:tcW w:w="3050" w:type="dxa"/>
            <w:shd w:val="clear" w:color="auto" w:fill="auto"/>
          </w:tcPr>
          <w:p w14:paraId="776F9241"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"Admission Agreement"</w:t>
            </w:r>
          </w:p>
        </w:tc>
        <w:tc>
          <w:tcPr>
            <w:tcW w:w="5976" w:type="dxa"/>
            <w:shd w:val="clear" w:color="auto" w:fill="auto"/>
          </w:tcPr>
          <w:p w14:paraId="0E4ABBD5" w14:textId="77777777" w:rsidR="00C565B9" w:rsidRDefault="00B06A6C">
            <w:pPr>
              <w:tabs>
                <w:tab w:val="left" w:pos="235"/>
              </w:tabs>
              <w:spacing w:before="120" w:after="120"/>
              <w:jc w:val="left"/>
              <w:rPr>
                <w:rFonts w:ascii="Arial" w:eastAsia="Arial" w:hAnsi="Arial"/>
                <w:sz w:val="24"/>
                <w:szCs w:val="24"/>
              </w:rPr>
            </w:pPr>
            <w:r>
              <w:rPr>
                <w:rFonts w:ascii="Arial" w:eastAsia="Arial" w:hAnsi="Arial"/>
                <w:sz w:val="24"/>
                <w:szCs w:val="24"/>
              </w:rPr>
              <w:t>means either or both of the CSPS Admission Agreement (as defined in Annex D1: CSPS) or the LGPS Admission Agreement) as defined in Annex D3: LGPS), as the context requires;</w:t>
            </w:r>
          </w:p>
        </w:tc>
      </w:tr>
      <w:tr w:rsidR="00C565B9" w14:paraId="3B2C3C7E" w14:textId="77777777">
        <w:tc>
          <w:tcPr>
            <w:tcW w:w="3050" w:type="dxa"/>
            <w:shd w:val="clear" w:color="auto" w:fill="auto"/>
          </w:tcPr>
          <w:p w14:paraId="02006E57"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"Broadly Comparable"</w:t>
            </w:r>
          </w:p>
        </w:tc>
        <w:tc>
          <w:tcPr>
            <w:tcW w:w="5976" w:type="dxa"/>
            <w:shd w:val="clear" w:color="auto" w:fill="auto"/>
          </w:tcPr>
          <w:p w14:paraId="6595B421" w14:textId="77777777" w:rsidR="00C565B9" w:rsidRDefault="00B06A6C">
            <w:pPr>
              <w:widowControl w:val="0"/>
              <w:numPr>
                <w:ilvl w:val="0"/>
                <w:numId w:val="16"/>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C565B9" w14:paraId="4FD80263" w14:textId="77777777">
        <w:tc>
          <w:tcPr>
            <w:tcW w:w="3050" w:type="dxa"/>
            <w:shd w:val="clear" w:color="auto" w:fill="auto"/>
          </w:tcPr>
          <w:p w14:paraId="2B198AD6"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0DEFFE26" w14:textId="77777777" w:rsidR="00C565B9" w:rsidRDefault="00B06A6C">
            <w:pPr>
              <w:widowControl w:val="0"/>
              <w:numPr>
                <w:ilvl w:val="0"/>
                <w:numId w:val="16"/>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4AF5B971" w14:textId="77777777" w:rsidR="00C565B9" w:rsidRDefault="00B06A6C">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C565B9" w14:paraId="5C8E1D38" w14:textId="77777777">
        <w:tc>
          <w:tcPr>
            <w:tcW w:w="3050" w:type="dxa"/>
            <w:shd w:val="clear" w:color="auto" w:fill="auto"/>
          </w:tcPr>
          <w:p w14:paraId="2CE05DBE"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"CSPS"</w:t>
            </w:r>
          </w:p>
        </w:tc>
        <w:tc>
          <w:tcPr>
            <w:tcW w:w="5976" w:type="dxa"/>
            <w:shd w:val="clear" w:color="auto" w:fill="auto"/>
          </w:tcPr>
          <w:p w14:paraId="36790A55"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C565B9" w14:paraId="1BADE47F" w14:textId="77777777">
        <w:tc>
          <w:tcPr>
            <w:tcW w:w="3050" w:type="dxa"/>
            <w:shd w:val="clear" w:color="auto" w:fill="auto"/>
          </w:tcPr>
          <w:p w14:paraId="5303CBFA"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"Fair Deal Employees"</w:t>
            </w:r>
          </w:p>
        </w:tc>
        <w:tc>
          <w:tcPr>
            <w:tcW w:w="5976" w:type="dxa"/>
            <w:shd w:val="clear" w:color="auto" w:fill="auto"/>
          </w:tcPr>
          <w:p w14:paraId="53B51F78"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those:</w:t>
            </w:r>
          </w:p>
          <w:p w14:paraId="66851CC7" w14:textId="77777777" w:rsidR="00C565B9" w:rsidRDefault="00B06A6C">
            <w:pPr>
              <w:widowControl w:val="0"/>
              <w:numPr>
                <w:ilvl w:val="0"/>
                <w:numId w:val="13"/>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and/or </w:t>
            </w:r>
          </w:p>
        </w:tc>
      </w:tr>
      <w:tr w:rsidR="00C565B9" w14:paraId="0DA2B5E0" w14:textId="77777777">
        <w:tc>
          <w:tcPr>
            <w:tcW w:w="3050" w:type="dxa"/>
            <w:shd w:val="clear" w:color="auto" w:fill="auto"/>
          </w:tcPr>
          <w:p w14:paraId="7923ACAE"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68A49987" w14:textId="77777777" w:rsidR="00C565B9" w:rsidRDefault="00B06A6C">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Transferring Former Supplier Employees; and/or</w:t>
            </w:r>
          </w:p>
        </w:tc>
      </w:tr>
      <w:tr w:rsidR="00C565B9" w14:paraId="5C0B3D75" w14:textId="77777777">
        <w:tc>
          <w:tcPr>
            <w:tcW w:w="3050" w:type="dxa"/>
            <w:shd w:val="clear" w:color="auto" w:fill="auto"/>
          </w:tcPr>
          <w:p w14:paraId="36280015"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3797F7D3" w14:textId="77777777" w:rsidR="00C565B9" w:rsidRDefault="00B06A6C">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 of </w:t>
            </w:r>
            <w:r>
              <w:rPr>
                <w:rFonts w:ascii="Arial" w:eastAsia="Arial" w:hAnsi="Arial"/>
                <w:sz w:val="24"/>
                <w:szCs w:val="24"/>
              </w:rPr>
              <w:lastRenderedPageBreak/>
              <w:t>Parts A or B or Paragraph 1.2.4 of Part C;</w:t>
            </w:r>
          </w:p>
        </w:tc>
      </w:tr>
      <w:tr w:rsidR="00C565B9" w14:paraId="721F5807" w14:textId="77777777">
        <w:tc>
          <w:tcPr>
            <w:tcW w:w="3050" w:type="dxa"/>
            <w:shd w:val="clear" w:color="auto" w:fill="auto"/>
          </w:tcPr>
          <w:p w14:paraId="3641893F" w14:textId="77777777" w:rsidR="00C565B9" w:rsidRDefault="00C565B9">
            <w:pPr>
              <w:keepNext/>
              <w:widowControl w:val="0"/>
              <w:spacing w:before="120" w:after="120"/>
              <w:ind w:left="720"/>
              <w:jc w:val="left"/>
              <w:rPr>
                <w:rFonts w:ascii="Arial" w:eastAsia="Arial" w:hAnsi="Arial"/>
                <w:b/>
                <w:sz w:val="24"/>
                <w:szCs w:val="24"/>
              </w:rPr>
            </w:pPr>
          </w:p>
        </w:tc>
        <w:tc>
          <w:tcPr>
            <w:tcW w:w="5976" w:type="dxa"/>
            <w:shd w:val="clear" w:color="auto" w:fill="auto"/>
          </w:tcPr>
          <w:p w14:paraId="0B3B0444" w14:textId="77777777" w:rsidR="00C565B9" w:rsidRDefault="00B06A6C">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Former Supplier becomes the Supplier those employees; </w:t>
            </w:r>
          </w:p>
        </w:tc>
      </w:tr>
      <w:tr w:rsidR="00C565B9" w14:paraId="5CFF4417" w14:textId="77777777">
        <w:tc>
          <w:tcPr>
            <w:tcW w:w="3050" w:type="dxa"/>
            <w:shd w:val="clear" w:color="auto" w:fill="auto"/>
          </w:tcPr>
          <w:p w14:paraId="3780EEA4"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684FEB35"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who at the Start Date or Relevant Transfer Date (as appropriate) are or become entitled to New Fair Deal protection in respect of any of the Statutory Schemes as notified by the Buyer;</w:t>
            </w:r>
          </w:p>
        </w:tc>
      </w:tr>
      <w:tr w:rsidR="00C565B9" w14:paraId="4A44846E" w14:textId="77777777">
        <w:tc>
          <w:tcPr>
            <w:tcW w:w="3050" w:type="dxa"/>
            <w:shd w:val="clear" w:color="auto" w:fill="auto"/>
          </w:tcPr>
          <w:p w14:paraId="47E41F84"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"Fair Deal Schemes"</w:t>
            </w:r>
          </w:p>
        </w:tc>
        <w:tc>
          <w:tcPr>
            <w:tcW w:w="5976" w:type="dxa"/>
            <w:shd w:val="clear" w:color="auto" w:fill="auto"/>
          </w:tcPr>
          <w:p w14:paraId="1599D9C8"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means the relevant Statutory Scheme or a Broadly Comparable pension scheme;</w:t>
            </w:r>
          </w:p>
        </w:tc>
      </w:tr>
      <w:tr w:rsidR="00C565B9" w14:paraId="668A1A2F" w14:textId="77777777">
        <w:tc>
          <w:tcPr>
            <w:tcW w:w="3050" w:type="dxa"/>
            <w:shd w:val="clear" w:color="auto" w:fill="auto"/>
          </w:tcPr>
          <w:p w14:paraId="41994155"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"Fund Actuary"</w:t>
            </w:r>
          </w:p>
        </w:tc>
        <w:tc>
          <w:tcPr>
            <w:tcW w:w="5976" w:type="dxa"/>
            <w:shd w:val="clear" w:color="auto" w:fill="auto"/>
          </w:tcPr>
          <w:p w14:paraId="2F6C3DC2"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means Fund Actuary as defined in Annex D3 to this Part D;</w:t>
            </w:r>
          </w:p>
        </w:tc>
      </w:tr>
      <w:tr w:rsidR="00C565B9" w14:paraId="6BAA4B5C" w14:textId="77777777">
        <w:tc>
          <w:tcPr>
            <w:tcW w:w="3050" w:type="dxa"/>
            <w:shd w:val="clear" w:color="auto" w:fill="auto"/>
          </w:tcPr>
          <w:p w14:paraId="5B1B6DB1"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"LGPS"</w:t>
            </w:r>
          </w:p>
        </w:tc>
        <w:tc>
          <w:tcPr>
            <w:tcW w:w="5976" w:type="dxa"/>
            <w:shd w:val="clear" w:color="auto" w:fill="auto"/>
          </w:tcPr>
          <w:p w14:paraId="464BF95D"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the schemes as defined in Annex D3 to this Part D;</w:t>
            </w:r>
          </w:p>
        </w:tc>
      </w:tr>
      <w:tr w:rsidR="00C565B9" w14:paraId="3FFAB745" w14:textId="77777777">
        <w:tc>
          <w:tcPr>
            <w:tcW w:w="3050" w:type="dxa"/>
            <w:shd w:val="clear" w:color="auto" w:fill="auto"/>
          </w:tcPr>
          <w:p w14:paraId="7F19FBCF"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"NHSPS"</w:t>
            </w:r>
          </w:p>
        </w:tc>
        <w:tc>
          <w:tcPr>
            <w:tcW w:w="5976" w:type="dxa"/>
            <w:shd w:val="clear" w:color="auto" w:fill="auto"/>
          </w:tcPr>
          <w:p w14:paraId="22DE29EA" w14:textId="77777777" w:rsidR="00C565B9" w:rsidRDefault="00B06A6C">
            <w:pPr>
              <w:keepNext/>
              <w:widowControl w:val="0"/>
              <w:spacing w:before="120" w:after="120"/>
              <w:jc w:val="left"/>
              <w:rPr>
                <w:rFonts w:ascii="Arial" w:eastAsia="Arial" w:hAnsi="Arial"/>
                <w:sz w:val="24"/>
                <w:szCs w:val="24"/>
              </w:rPr>
            </w:pPr>
            <w:r>
              <w:rPr>
                <w:rFonts w:ascii="Arial" w:eastAsia="Arial" w:hAnsi="Arial"/>
                <w:sz w:val="24"/>
                <w:szCs w:val="24"/>
              </w:rPr>
              <w:t>the schemes  as defined in Annex D2 to this Part D;</w:t>
            </w:r>
          </w:p>
        </w:tc>
      </w:tr>
      <w:tr w:rsidR="00C565B9" w14:paraId="07445CD5" w14:textId="77777777">
        <w:tc>
          <w:tcPr>
            <w:tcW w:w="3050" w:type="dxa"/>
            <w:shd w:val="clear" w:color="auto" w:fill="auto"/>
          </w:tcPr>
          <w:p w14:paraId="1055B3ED"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"New Fair Deal"</w:t>
            </w:r>
          </w:p>
        </w:tc>
        <w:tc>
          <w:tcPr>
            <w:tcW w:w="5976" w:type="dxa"/>
            <w:shd w:val="clear" w:color="auto" w:fill="auto"/>
          </w:tcPr>
          <w:p w14:paraId="42E4471E" w14:textId="77777777" w:rsidR="00C565B9" w:rsidRDefault="00B06A6C">
            <w:pPr>
              <w:spacing w:before="120" w:after="120"/>
              <w:jc w:val="left"/>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4A891055" w14:textId="77777777" w:rsidR="00C565B9" w:rsidRDefault="00B06A6C">
            <w:pPr>
              <w:widowControl w:val="0"/>
              <w:numPr>
                <w:ilvl w:val="0"/>
                <w:numId w:val="7"/>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any amendments to that document immediately prior to the Relevant Transfer Date; and</w:t>
            </w:r>
          </w:p>
        </w:tc>
      </w:tr>
      <w:tr w:rsidR="00C565B9" w14:paraId="0111A26F" w14:textId="77777777">
        <w:tc>
          <w:tcPr>
            <w:tcW w:w="3050" w:type="dxa"/>
            <w:shd w:val="clear" w:color="auto" w:fill="auto"/>
          </w:tcPr>
          <w:p w14:paraId="64AA0396"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695871C6" w14:textId="77777777" w:rsidR="00C565B9" w:rsidRDefault="00B06A6C">
            <w:pPr>
              <w:widowControl w:val="0"/>
              <w:numPr>
                <w:ilvl w:val="0"/>
                <w:numId w:val="7"/>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any similar pension protection in accordance with the subsequent Annex D1-D3 inclusive as notified to the Supplier by the CCS or Buyer; and</w:t>
            </w:r>
          </w:p>
        </w:tc>
      </w:tr>
      <w:tr w:rsidR="00C565B9" w14:paraId="7BDB8753" w14:textId="77777777">
        <w:tc>
          <w:tcPr>
            <w:tcW w:w="3050" w:type="dxa"/>
            <w:shd w:val="clear" w:color="auto" w:fill="auto"/>
          </w:tcPr>
          <w:p w14:paraId="1C912636"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"Statutory Schemes"</w:t>
            </w:r>
          </w:p>
        </w:tc>
        <w:tc>
          <w:tcPr>
            <w:tcW w:w="5976" w:type="dxa"/>
            <w:shd w:val="clear" w:color="auto" w:fill="auto"/>
          </w:tcPr>
          <w:p w14:paraId="0773ADB4" w14:textId="77777777" w:rsidR="00C565B9" w:rsidRDefault="00B06A6C">
            <w:pPr>
              <w:spacing w:before="120" w:after="120"/>
              <w:jc w:val="left"/>
              <w:rPr>
                <w:rFonts w:ascii="Arial" w:eastAsia="Arial" w:hAnsi="Arial"/>
                <w:sz w:val="24"/>
                <w:szCs w:val="24"/>
              </w:rPr>
            </w:pPr>
            <w:r>
              <w:rPr>
                <w:rFonts w:ascii="Arial" w:eastAsia="Arial" w:hAnsi="Arial"/>
                <w:sz w:val="24"/>
                <w:szCs w:val="24"/>
              </w:rPr>
              <w:t>means the CSPS, NHSPS or LGPS.</w:t>
            </w:r>
          </w:p>
        </w:tc>
      </w:tr>
    </w:tbl>
    <w:p w14:paraId="2FE374CD"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44049F16"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0057D4D4"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448C8795"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w:t>
      </w:r>
    </w:p>
    <w:p w14:paraId="5E3A2C4E"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78C29801"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C4E5F3D"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45A8912F"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6ED692BC"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38C82E42"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14:paraId="72A36C78"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02853747"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 xml:space="preserve">  </w:t>
      </w:r>
      <w:r>
        <w:rPr>
          <w:rFonts w:ascii="Arial" w:eastAsia="Arial" w:hAnsi="Arial"/>
          <w:color w:val="000000"/>
          <w:sz w:val="24"/>
          <w:szCs w:val="24"/>
        </w:rPr>
        <w:t>to indemnify and keep indemnified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4BA63FB0"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The Supplier hereby indemnifies the NHS Pensions, the Buyer</w:t>
      </w:r>
      <w:r>
        <w:rPr>
          <w:rFonts w:ascii="Arial" w:eastAsia="Arial" w:hAnsi="Arial"/>
          <w:i/>
          <w:color w:val="000000"/>
          <w:sz w:val="24"/>
          <w:szCs w:val="24"/>
        </w:rPr>
        <w:t xml:space="preserve"> </w:t>
      </w:r>
      <w:r>
        <w:rPr>
          <w:rFonts w:ascii="Arial" w:eastAsia="Arial" w:hAnsi="Arial"/>
          <w:color w:val="000000"/>
          <w:sz w:val="24"/>
          <w:szCs w:val="24"/>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14:paraId="43E612D0"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relate to pension rights in respect of periods of employment on and after the Relevant Transfer Date until the date of termination or expiry of this Contract; or</w:t>
      </w:r>
    </w:p>
    <w:p w14:paraId="6C6C982A"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 xml:space="preserve">arise out of the failure of the Supplier and/or any relevant Sub-contractor to comply with the provisions of this Part D before the date of termination or expiry of this Contract. </w:t>
      </w:r>
    </w:p>
    <w:p w14:paraId="1D1684F6"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this Part D and its Annexes:</w:t>
      </w:r>
    </w:p>
    <w:p w14:paraId="03F79508"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this Contract; and</w:t>
      </w:r>
    </w:p>
    <w:p w14:paraId="4C1D0835"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10D0AADB"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What happens if there is a dispute</w:t>
      </w:r>
    </w:p>
    <w:p w14:paraId="30373F9E"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Dispute Resolution Procedure will not apply to this Part D and any dispute between the Buyer and the Supplier or between their respective actuaries or the Fund Actuary about any of the actuarial matters referred to in this Part D and its Annexes shall in the absence of agreement between the Buyer and the Supplier be referred to an independent Actuary: </w:t>
      </w:r>
    </w:p>
    <w:p w14:paraId="529062BE"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082904C5"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whose decision will be final and binding on the Buyer and the Supplier; and </w:t>
      </w:r>
    </w:p>
    <w:p w14:paraId="28A8A2B4"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expenses shall be borne equally by the CCS and/or the Buyer and the Supplier unless the independent Actuary shall otherwise direct.</w:t>
      </w:r>
    </w:p>
    <w:p w14:paraId="6876A283"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2A45749A"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596F8D5"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4BD4E8C2"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41F22B1A"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026C4902"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0F398CEC"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DE0003F"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Transferring New Fair Deal Employees</w:t>
      </w:r>
    </w:p>
    <w:p w14:paraId="05763872"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Save on expiry or termination of this Contract, if the employment of any Fair Deal Employee transfers to another employer (by way of a transfer under the Employment Regulations) the Supplier shall and shall procure that any relevant Sub-Contractor shall:</w:t>
      </w:r>
    </w:p>
    <w:p w14:paraId="236032CD"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and inform those Fair Deal Employees of the pension provisions relating to that transfer; and</w:t>
      </w:r>
    </w:p>
    <w:p w14:paraId="3C899D97"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employer to which the Fair Deal Employees are transferred (the </w:t>
      </w:r>
      <w:r>
        <w:rPr>
          <w:rFonts w:ascii="Arial" w:eastAsia="Arial" w:hAnsi="Arial"/>
          <w:b/>
          <w:color w:val="000000"/>
          <w:sz w:val="24"/>
          <w:szCs w:val="24"/>
        </w:rPr>
        <w:t>"New Employer"</w:t>
      </w:r>
      <w:r>
        <w:rPr>
          <w:rFonts w:ascii="Arial" w:eastAsia="Arial" w:hAnsi="Arial"/>
          <w:color w:val="000000"/>
          <w:sz w:val="24"/>
          <w:szCs w:val="24"/>
        </w:rPr>
        <w:t xml:space="preserve">) complies with the provisions of </w:t>
      </w:r>
      <w:r>
        <w:rPr>
          <w:rFonts w:ascii="Arial" w:eastAsia="Arial" w:hAnsi="Arial"/>
          <w:color w:val="000000"/>
          <w:sz w:val="24"/>
          <w:szCs w:val="24"/>
        </w:rPr>
        <w:lastRenderedPageBreak/>
        <w:t>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066F8FC3"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00EAE085" w14:textId="77777777" w:rsidR="00C565B9" w:rsidRDefault="00B06A6C">
      <w:pPr>
        <w:ind w:left="357"/>
        <w:jc w:val="left"/>
        <w:rPr>
          <w:rFonts w:ascii="Arial" w:eastAsia="Arial" w:hAnsi="Arial"/>
          <w:sz w:val="24"/>
          <w:szCs w:val="24"/>
        </w:rPr>
      </w:pPr>
      <w:r>
        <w:rPr>
          <w:rFonts w:ascii="Arial" w:eastAsia="Arial" w:hAnsi="Arial"/>
          <w:sz w:val="24"/>
          <w:szCs w:val="24"/>
        </w:rPr>
        <w:t>The provisions of Part E: Staff Transfer On Exit (Mandatory) apply in relation to pension issues on expiry or termination of this Contract.</w:t>
      </w:r>
    </w:p>
    <w:p w14:paraId="4DB3F607"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w:t>
      </w:r>
    </w:p>
    <w:p w14:paraId="0BF24EBA"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If either:</w:t>
      </w:r>
    </w:p>
    <w:p w14:paraId="69C2EEE3"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terms of any of Paragraphs 2.2 of Annex D1: CSPS, 5.2 of Annex D2: NHSPS and or 4 of Annex D3: LGPS apply; and/or</w:t>
      </w:r>
    </w:p>
    <w:p w14:paraId="765378F1"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7B53A6C4" w14:textId="77777777" w:rsidR="00C565B9" w:rsidRDefault="00B06A6C">
      <w:pPr>
        <w:ind w:left="992"/>
        <w:jc w:val="left"/>
        <w:rPr>
          <w:rFonts w:ascii="Arial" w:eastAsia="Arial" w:hAnsi="Arial"/>
          <w:sz w:val="24"/>
          <w:szCs w:val="24"/>
        </w:rPr>
      </w:pPr>
      <w:r>
        <w:rPr>
          <w:rFonts w:ascii="Arial" w:eastAsia="Arial" w:hAnsi="Arial"/>
          <w:sz w:val="24"/>
          <w:szCs w:val="24"/>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533198B9"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set up a Broadly Comparable pension scheme or schemes pursuant to the provisions of Paragraph 10.1, the Supplier shall (and shall procure that any of its Sub-contractors shall):</w:t>
      </w:r>
    </w:p>
    <w:p w14:paraId="30BCE439"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14:paraId="598C3194"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such Broadly Comparable pension scheme in accordance with the funding requirements set by that Broadly Comparable pension scheme’s Actuary or by the Government Actuary’s Department for the period ending on the Service Transfer Date;</w:t>
      </w:r>
    </w:p>
    <w:p w14:paraId="7256D08E"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Buyer may </w:t>
      </w:r>
      <w:r>
        <w:rPr>
          <w:rFonts w:ascii="Arial" w:eastAsia="Arial" w:hAnsi="Arial"/>
          <w:color w:val="000000"/>
          <w:sz w:val="24"/>
          <w:szCs w:val="24"/>
        </w:rPr>
        <w:lastRenderedPageBreak/>
        <w:t>reasonably require, to enable the Replacement Supplier to participate in the appropriate Statutory Scheme in respect of any Fair Deal Employee that remain eligible for New Fair Deal protection following a Service Transfer;</w:t>
      </w:r>
    </w:p>
    <w:p w14:paraId="078BD6F8"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1AC2937B"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42" w:name="_heading=h.4f1mdlm" w:colFirst="0" w:colLast="0"/>
      <w:bookmarkEnd w:id="42"/>
      <w:r>
        <w:rPr>
          <w:rFonts w:ascii="Arial" w:eastAsia="Arial" w:hAnsi="Arial"/>
          <w:color w:val="000000"/>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rFonts w:ascii="Arial" w:eastAsia="Arial" w:hAnsi="Arial"/>
          <w:b/>
          <w:color w:val="000000"/>
          <w:sz w:val="24"/>
          <w:szCs w:val="24"/>
        </w:rPr>
        <w:t>"Shortfall"</w:t>
      </w:r>
      <w:r>
        <w:rPr>
          <w:rFonts w:ascii="Arial" w:eastAsia="Arial" w:hAnsi="Arial"/>
          <w:color w:val="000000"/>
          <w:sz w:val="24"/>
          <w:szCs w:val="24"/>
        </w:rPr>
        <w:t>), the Supplier or the Sub-contractor (as agreed between them) must pay the Statutory Scheme, as required, provided that in the absence of any agreement between the Supplier and any Sub-contractor, the Shortfall shall be paid by the Supplier;  and</w:t>
      </w:r>
    </w:p>
    <w:p w14:paraId="35A08FAE"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indemnify the Buyer and/or NHS Pension and/or CSPS and/or the relevant Administering Authority and/or on demand for any failure to pay the Shortfall as required under Paragraph 10.2.5 above.</w:t>
      </w:r>
    </w:p>
    <w:p w14:paraId="6BB4D050" w14:textId="77777777" w:rsidR="00C565B9" w:rsidRDefault="00B06A6C">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12A87F8E" w14:textId="77777777" w:rsidR="00C565B9" w:rsidRDefault="00B06A6C">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6532330A" w14:textId="77777777" w:rsidR="00C565B9" w:rsidRDefault="00B06A6C">
      <w:pPr>
        <w:keepNext/>
        <w:numPr>
          <w:ilvl w:val="0"/>
          <w:numId w:val="1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51DCF946" w14:textId="77777777" w:rsidR="00C565B9" w:rsidRDefault="00B06A6C">
      <w:pPr>
        <w:keepNext/>
        <w:ind w:left="368" w:hanging="11"/>
        <w:jc w:val="left"/>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C565B9" w14:paraId="7242D914" w14:textId="77777777">
        <w:tc>
          <w:tcPr>
            <w:tcW w:w="2835" w:type="dxa"/>
          </w:tcPr>
          <w:p w14:paraId="2553C8D3" w14:textId="77777777" w:rsidR="00C565B9" w:rsidRDefault="00B06A6C">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1A4C0AB1"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C565B9" w14:paraId="4F7E76EE" w14:textId="77777777">
        <w:tc>
          <w:tcPr>
            <w:tcW w:w="2835" w:type="dxa"/>
          </w:tcPr>
          <w:p w14:paraId="098EB7A0" w14:textId="77777777" w:rsidR="00C565B9" w:rsidRDefault="00B06A6C">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43272335"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Fair Deal Employee who at the relevant time is an eligible employee as defined in the CSPS Admission Agreement;</w:t>
            </w:r>
          </w:p>
        </w:tc>
      </w:tr>
      <w:tr w:rsidR="00C565B9" w14:paraId="27A5D7DC" w14:textId="77777777">
        <w:tc>
          <w:tcPr>
            <w:tcW w:w="2835" w:type="dxa"/>
          </w:tcPr>
          <w:p w14:paraId="41A557A9" w14:textId="77777777" w:rsidR="00C565B9" w:rsidRDefault="00B06A6C">
            <w:pPr>
              <w:spacing w:after="120"/>
              <w:ind w:left="709"/>
              <w:jc w:val="left"/>
              <w:rPr>
                <w:rFonts w:ascii="Arial" w:eastAsia="Arial" w:hAnsi="Arial"/>
                <w:sz w:val="24"/>
                <w:szCs w:val="24"/>
              </w:rPr>
            </w:pPr>
            <w:r>
              <w:rPr>
                <w:rFonts w:ascii="Arial" w:eastAsia="Arial" w:hAnsi="Arial"/>
                <w:b/>
                <w:color w:val="000000"/>
                <w:sz w:val="24"/>
                <w:szCs w:val="24"/>
              </w:rPr>
              <w:t>"CSPS"</w:t>
            </w:r>
          </w:p>
        </w:tc>
        <w:tc>
          <w:tcPr>
            <w:tcW w:w="6543" w:type="dxa"/>
          </w:tcPr>
          <w:p w14:paraId="7F20C801" w14:textId="77777777" w:rsidR="00C565B9" w:rsidRDefault="00B06A6C">
            <w:pPr>
              <w:spacing w:after="120"/>
              <w:jc w:val="left"/>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Pr>
                <w:rFonts w:ascii="Arial" w:eastAsia="Arial" w:hAnsi="Arial"/>
                <w:b/>
                <w:color w:val="222222"/>
                <w:sz w:val="24"/>
                <w:szCs w:val="24"/>
                <w:highlight w:val="yellow"/>
              </w:rPr>
              <w:t>Delete </w:t>
            </w:r>
            <w:r>
              <w:rPr>
                <w:rFonts w:ascii="Arial" w:eastAsia="Arial" w:hAnsi="Arial"/>
                <w:color w:val="222222"/>
                <w:sz w:val="24"/>
                <w:szCs w:val="24"/>
                <w:highlight w:val="white"/>
              </w:rPr>
              <w:t>after 30 September 2018: the Designated Stakeholder Pension Scheme which is scheduled to close to new members in September 2018] and "alpha" introduced under The Public Service (Civil Servants and Others) Pensions Regulations 2014.</w:t>
            </w:r>
          </w:p>
        </w:tc>
      </w:tr>
    </w:tbl>
    <w:p w14:paraId="2056D263" w14:textId="77777777" w:rsidR="00C565B9" w:rsidRDefault="00B06A6C">
      <w:pPr>
        <w:keepNext/>
        <w:numPr>
          <w:ilvl w:val="0"/>
          <w:numId w:val="1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3DD1F409" w14:textId="77777777" w:rsidR="00C565B9" w:rsidRDefault="00B06A6C">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3A8BCF77" w14:textId="77777777" w:rsidR="00C565B9" w:rsidRDefault="00B06A6C">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14:paraId="20A2EC0A" w14:textId="77777777" w:rsidR="00C565B9" w:rsidRDefault="00C565B9">
      <w:pPr>
        <w:jc w:val="left"/>
        <w:rPr>
          <w:rFonts w:ascii="Arial" w:eastAsia="Arial" w:hAnsi="Arial"/>
          <w:sz w:val="24"/>
          <w:szCs w:val="24"/>
        </w:rPr>
      </w:pPr>
    </w:p>
    <w:p w14:paraId="2545ED03" w14:textId="77777777" w:rsidR="00C565B9" w:rsidRDefault="00B06A6C">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06A25A78" w14:textId="77777777" w:rsidR="00C565B9" w:rsidRDefault="00B06A6C">
      <w:pPr>
        <w:keepNext/>
        <w:numPr>
          <w:ilvl w:val="0"/>
          <w:numId w:val="1"/>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1D7560EC" w14:textId="77777777" w:rsidR="00C565B9" w:rsidRDefault="00B06A6C">
      <w:pPr>
        <w:keepNext/>
        <w:ind w:left="368" w:hanging="11"/>
        <w:jc w:val="left"/>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064"/>
        <w:gridCol w:w="5962"/>
      </w:tblGrid>
      <w:tr w:rsidR="00C565B9" w14:paraId="708B908B" w14:textId="77777777">
        <w:tc>
          <w:tcPr>
            <w:tcW w:w="3064" w:type="dxa"/>
          </w:tcPr>
          <w:p w14:paraId="3B140178"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"Direction Letter"</w:t>
            </w:r>
          </w:p>
        </w:tc>
        <w:tc>
          <w:tcPr>
            <w:tcW w:w="5962" w:type="dxa"/>
          </w:tcPr>
          <w:p w14:paraId="09893A3B"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C565B9" w14:paraId="3B5B8291" w14:textId="77777777">
        <w:tc>
          <w:tcPr>
            <w:tcW w:w="3064" w:type="dxa"/>
          </w:tcPr>
          <w:p w14:paraId="35351DA8"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"NHSPS Eligible Employees"</w:t>
            </w:r>
          </w:p>
        </w:tc>
        <w:tc>
          <w:tcPr>
            <w:tcW w:w="5962" w:type="dxa"/>
          </w:tcPr>
          <w:p w14:paraId="51BF84EE"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C565B9" w14:paraId="7C40A8E1" w14:textId="77777777">
        <w:tc>
          <w:tcPr>
            <w:tcW w:w="3064" w:type="dxa"/>
          </w:tcPr>
          <w:p w14:paraId="40ACC1ED" w14:textId="77777777" w:rsidR="00C565B9" w:rsidRDefault="00C565B9">
            <w:pPr>
              <w:spacing w:before="120" w:after="120"/>
              <w:ind w:left="720"/>
              <w:jc w:val="left"/>
              <w:rPr>
                <w:rFonts w:ascii="Arial" w:eastAsia="Arial" w:hAnsi="Arial"/>
                <w:b/>
                <w:sz w:val="24"/>
                <w:szCs w:val="24"/>
              </w:rPr>
            </w:pPr>
          </w:p>
        </w:tc>
        <w:tc>
          <w:tcPr>
            <w:tcW w:w="5962" w:type="dxa"/>
          </w:tcPr>
          <w:p w14:paraId="3E98855A" w14:textId="77777777" w:rsidR="00C565B9" w:rsidRDefault="00B06A6C">
            <w:pPr>
              <w:widowControl w:val="0"/>
              <w:numPr>
                <w:ilvl w:val="0"/>
                <w:numId w:val="2"/>
              </w:numPr>
              <w:tabs>
                <w:tab w:val="left" w:pos="695"/>
              </w:tabs>
              <w:spacing w:before="120" w:after="120"/>
              <w:ind w:left="743" w:hanging="709"/>
              <w:jc w:val="left"/>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C565B9" w14:paraId="039C2CEE" w14:textId="77777777">
        <w:tc>
          <w:tcPr>
            <w:tcW w:w="3064" w:type="dxa"/>
          </w:tcPr>
          <w:p w14:paraId="579BC21D" w14:textId="77777777" w:rsidR="00C565B9" w:rsidRDefault="00C565B9">
            <w:pPr>
              <w:spacing w:before="120" w:after="120"/>
              <w:ind w:left="720"/>
              <w:jc w:val="left"/>
              <w:rPr>
                <w:rFonts w:ascii="Arial" w:eastAsia="Arial" w:hAnsi="Arial"/>
                <w:b/>
                <w:sz w:val="24"/>
                <w:szCs w:val="24"/>
              </w:rPr>
            </w:pPr>
          </w:p>
        </w:tc>
        <w:tc>
          <w:tcPr>
            <w:tcW w:w="5962" w:type="dxa"/>
          </w:tcPr>
          <w:p w14:paraId="0D72AE7A" w14:textId="77777777" w:rsidR="00C565B9" w:rsidRDefault="00B06A6C">
            <w:pPr>
              <w:widowControl w:val="0"/>
              <w:numPr>
                <w:ilvl w:val="0"/>
                <w:numId w:val="2"/>
              </w:numPr>
              <w:tabs>
                <w:tab w:val="left" w:pos="695"/>
              </w:tabs>
              <w:spacing w:before="120" w:after="120"/>
              <w:ind w:left="695" w:hanging="646"/>
              <w:jc w:val="left"/>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C565B9" w14:paraId="33E53768" w14:textId="77777777">
        <w:tc>
          <w:tcPr>
            <w:tcW w:w="3064" w:type="dxa"/>
          </w:tcPr>
          <w:p w14:paraId="19745931" w14:textId="77777777" w:rsidR="00C565B9" w:rsidRDefault="00C565B9">
            <w:pPr>
              <w:spacing w:before="120" w:after="120"/>
              <w:ind w:left="720"/>
              <w:jc w:val="left"/>
              <w:rPr>
                <w:rFonts w:ascii="Arial" w:eastAsia="Arial" w:hAnsi="Arial"/>
                <w:b/>
                <w:sz w:val="24"/>
                <w:szCs w:val="24"/>
              </w:rPr>
            </w:pPr>
          </w:p>
        </w:tc>
        <w:tc>
          <w:tcPr>
            <w:tcW w:w="5962" w:type="dxa"/>
          </w:tcPr>
          <w:p w14:paraId="1F8E5F28"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and, in each case, being continuously engaged for more than fifty per cent (50%) of their employed time </w:t>
            </w:r>
            <w:r>
              <w:rPr>
                <w:rFonts w:ascii="Arial" w:eastAsia="Arial" w:hAnsi="Arial"/>
                <w:color w:val="000000"/>
                <w:sz w:val="24"/>
                <w:szCs w:val="24"/>
              </w:rPr>
              <w:lastRenderedPageBreak/>
              <w:t>in the delivery of services (the same as or similar to the Services).</w:t>
            </w:r>
          </w:p>
        </w:tc>
      </w:tr>
      <w:tr w:rsidR="00C565B9" w14:paraId="1D40DB35" w14:textId="77777777">
        <w:tc>
          <w:tcPr>
            <w:tcW w:w="3064" w:type="dxa"/>
          </w:tcPr>
          <w:p w14:paraId="7B8B5B42" w14:textId="77777777" w:rsidR="00C565B9" w:rsidRDefault="00C565B9">
            <w:pPr>
              <w:spacing w:before="120" w:after="120"/>
              <w:ind w:left="720"/>
              <w:jc w:val="left"/>
              <w:rPr>
                <w:rFonts w:ascii="Arial" w:eastAsia="Arial" w:hAnsi="Arial"/>
                <w:b/>
                <w:sz w:val="24"/>
                <w:szCs w:val="24"/>
              </w:rPr>
            </w:pPr>
          </w:p>
        </w:tc>
        <w:tc>
          <w:tcPr>
            <w:tcW w:w="5962" w:type="dxa"/>
          </w:tcPr>
          <w:p w14:paraId="2C38E1F2"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C565B9" w14:paraId="00352A97" w14:textId="77777777">
        <w:tc>
          <w:tcPr>
            <w:tcW w:w="3064" w:type="dxa"/>
          </w:tcPr>
          <w:p w14:paraId="5C262F02"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Body"</w:t>
            </w:r>
          </w:p>
        </w:tc>
        <w:tc>
          <w:tcPr>
            <w:tcW w:w="5962" w:type="dxa"/>
          </w:tcPr>
          <w:p w14:paraId="3FE646C1"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2012;</w:t>
            </w:r>
          </w:p>
        </w:tc>
      </w:tr>
      <w:tr w:rsidR="00C565B9" w14:paraId="0DA6C464" w14:textId="77777777">
        <w:tc>
          <w:tcPr>
            <w:tcW w:w="3064" w:type="dxa"/>
          </w:tcPr>
          <w:p w14:paraId="12AF997B"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Pensions"</w:t>
            </w:r>
          </w:p>
        </w:tc>
        <w:tc>
          <w:tcPr>
            <w:tcW w:w="5962" w:type="dxa"/>
          </w:tcPr>
          <w:p w14:paraId="759FC71E"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C565B9" w14:paraId="33D8351F" w14:textId="77777777">
        <w:tc>
          <w:tcPr>
            <w:tcW w:w="3064" w:type="dxa"/>
          </w:tcPr>
          <w:p w14:paraId="51C8EAFF"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"NHSPS"</w:t>
            </w:r>
          </w:p>
        </w:tc>
        <w:tc>
          <w:tcPr>
            <w:tcW w:w="5962" w:type="dxa"/>
          </w:tcPr>
          <w:p w14:paraId="23EC1B18"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governed by subsequent regulations under that Act including the NHS Pension Scheme Regulations;</w:t>
            </w:r>
          </w:p>
        </w:tc>
      </w:tr>
      <w:tr w:rsidR="00C565B9" w14:paraId="65FF39BB" w14:textId="77777777">
        <w:tc>
          <w:tcPr>
            <w:tcW w:w="3064" w:type="dxa"/>
          </w:tcPr>
          <w:p w14:paraId="087AB218"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Pension Scheme Arrears"</w:t>
            </w:r>
          </w:p>
        </w:tc>
        <w:tc>
          <w:tcPr>
            <w:tcW w:w="5962" w:type="dxa"/>
          </w:tcPr>
          <w:p w14:paraId="660EEF4D"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C565B9" w14:paraId="250C0593" w14:textId="77777777">
        <w:tc>
          <w:tcPr>
            <w:tcW w:w="3064" w:type="dxa"/>
          </w:tcPr>
          <w:p w14:paraId="0B56B632"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Pension Scheme Regulations"</w:t>
            </w:r>
          </w:p>
        </w:tc>
        <w:tc>
          <w:tcPr>
            <w:tcW w:w="5962" w:type="dxa"/>
          </w:tcPr>
          <w:p w14:paraId="189847ED"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C565B9" w14:paraId="7881A894" w14:textId="77777777">
        <w:tc>
          <w:tcPr>
            <w:tcW w:w="3064" w:type="dxa"/>
          </w:tcPr>
          <w:p w14:paraId="593E8DE6"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Premature Retirement Rights"</w:t>
            </w:r>
          </w:p>
        </w:tc>
        <w:tc>
          <w:tcPr>
            <w:tcW w:w="5962" w:type="dxa"/>
          </w:tcPr>
          <w:p w14:paraId="4FD6A4EB"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w:t>
            </w:r>
            <w:r>
              <w:rPr>
                <w:rFonts w:ascii="Arial" w:eastAsia="Arial" w:hAnsi="Arial"/>
                <w:color w:val="000000"/>
                <w:sz w:val="24"/>
                <w:szCs w:val="24"/>
              </w:rPr>
              <w:lastRenderedPageBreak/>
              <w:t>Benefits) Regulations 1995 (SI 1995/866) and section 45 of the General Whitley Council conditions of service, or any other legislative or contractual provision which replaces, amends, extends or consolidates the same from time to time;</w:t>
            </w:r>
          </w:p>
        </w:tc>
      </w:tr>
      <w:tr w:rsidR="00C565B9" w14:paraId="41B69EA6" w14:textId="77777777">
        <w:tc>
          <w:tcPr>
            <w:tcW w:w="3064" w:type="dxa"/>
          </w:tcPr>
          <w:p w14:paraId="212D3479"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lastRenderedPageBreak/>
              <w:t>"Pension Benefits"</w:t>
            </w:r>
          </w:p>
        </w:tc>
        <w:tc>
          <w:tcPr>
            <w:tcW w:w="5962" w:type="dxa"/>
          </w:tcPr>
          <w:p w14:paraId="5E42BF6D"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C565B9" w14:paraId="4D0CA8D7" w14:textId="77777777">
        <w:tc>
          <w:tcPr>
            <w:tcW w:w="3064" w:type="dxa"/>
          </w:tcPr>
          <w:p w14:paraId="15F12F48"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"Retirement Benefits Scheme"</w:t>
            </w:r>
          </w:p>
        </w:tc>
        <w:tc>
          <w:tcPr>
            <w:tcW w:w="5962" w:type="dxa"/>
          </w:tcPr>
          <w:p w14:paraId="60AFA2FD" w14:textId="77777777" w:rsidR="00C565B9" w:rsidRDefault="00B06A6C">
            <w:pPr>
              <w:tabs>
                <w:tab w:val="left" w:pos="235"/>
              </w:tabs>
              <w:spacing w:before="120" w:after="120"/>
              <w:jc w:val="left"/>
              <w:rPr>
                <w:rFonts w:ascii="Arial" w:eastAsia="Arial" w:hAnsi="Arial"/>
                <w:sz w:val="24"/>
                <w:szCs w:val="24"/>
              </w:rPr>
            </w:pPr>
            <w:r>
              <w:rPr>
                <w:rFonts w:ascii="Arial" w:eastAsia="Arial" w:hAnsi="Arial"/>
                <w:color w:val="000000"/>
                <w:sz w:val="24"/>
                <w:szCs w:val="24"/>
              </w:rPr>
              <w:t>a pension scheme registered under Chapter 2 of Part 4 of the Finance Act 2004.</w:t>
            </w:r>
          </w:p>
        </w:tc>
      </w:tr>
    </w:tbl>
    <w:p w14:paraId="79B60D47"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t>Membership of the NHS Pension Scheme</w:t>
      </w:r>
    </w:p>
    <w:p w14:paraId="58286071"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14:paraId="2008AE70"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by or as soon as reasonably practicable after the Relevant Transfer Date a complete copy of each Direction Letter.</w:t>
      </w:r>
    </w:p>
    <w:p w14:paraId="0818BAEF"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14:paraId="37C817CD"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14:paraId="1245D710"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14:paraId="1C582E26"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lastRenderedPageBreak/>
        <w:t>The Supplier will (and will procure that its Sub-contractors (if any) will) as soon as reasonably practicable and at its (or its Sub-contractor’s) cost, obtain any guarantee, bond or indemnity that may from time to time be required by the Secretary of State for Health.</w:t>
      </w:r>
    </w:p>
    <w:p w14:paraId="7DEF1728"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1" w:name="_heading=h.2lwamvv" w:colFirst="0" w:colLast="0"/>
      <w:bookmarkEnd w:id="51"/>
      <w:r>
        <w:rPr>
          <w:rFonts w:ascii="Arial Bold" w:eastAsia="Arial Bold" w:hAnsi="Arial Bold" w:cs="Arial Bold"/>
          <w:b/>
          <w:color w:val="000000"/>
          <w:sz w:val="24"/>
          <w:szCs w:val="24"/>
        </w:rPr>
        <w:t>Access to NHS Pension Schemes after transfer</w:t>
      </w:r>
    </w:p>
    <w:p w14:paraId="585851F1" w14:textId="77777777" w:rsidR="00C565B9" w:rsidRDefault="00B06A6C">
      <w:pPr>
        <w:tabs>
          <w:tab w:val="left" w:pos="709"/>
        </w:tabs>
        <w:spacing w:before="120" w:after="120"/>
        <w:ind w:left="371" w:hanging="13"/>
        <w:jc w:val="left"/>
        <w:rPr>
          <w:rFonts w:ascii="Arial" w:eastAsia="Arial" w:hAnsi="Arial"/>
          <w:sz w:val="24"/>
          <w:szCs w:val="24"/>
        </w:rPr>
      </w:pPr>
      <w:r>
        <w:rPr>
          <w:rFonts w:ascii="Arial" w:eastAsia="Arial" w:hAnsi="Arial"/>
          <w:sz w:val="24"/>
          <w:szCs w:val="24"/>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4F4C607E"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401EA8BA" w14:textId="77777777" w:rsidR="00C565B9" w:rsidRDefault="00B06A6C">
      <w:pPr>
        <w:ind w:left="357"/>
        <w:jc w:val="left"/>
        <w:rPr>
          <w:rFonts w:ascii="Arial" w:eastAsia="Arial" w:hAnsi="Arial"/>
          <w:sz w:val="24"/>
          <w:szCs w:val="24"/>
        </w:rPr>
      </w:pPr>
      <w:bookmarkStart w:id="52" w:name="_heading=h.111kx3o" w:colFirst="0" w:colLast="0"/>
      <w:bookmarkEnd w:id="52"/>
      <w:r>
        <w:rPr>
          <w:rFonts w:ascii="Arial" w:eastAsia="Arial" w:hAnsi="Arial"/>
          <w:sz w:val="24"/>
          <w:szCs w:val="24"/>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14:paraId="733BB112" w14:textId="00A8FB8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3" w:name="_heading=h.3l18frh"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the buyer </w:t>
      </w:r>
      <w:r w:rsidR="004D34E0">
        <w:rPr>
          <w:rFonts w:ascii="Arial Bold" w:eastAsia="Arial Bold" w:hAnsi="Arial Bold" w:cs="Arial Bold"/>
          <w:b/>
          <w:color w:val="000000"/>
          <w:sz w:val="24"/>
          <w:szCs w:val="24"/>
        </w:rPr>
        <w:t>does</w:t>
      </w:r>
      <w:r>
        <w:rPr>
          <w:rFonts w:ascii="Arial Bold" w:eastAsia="Arial Bold" w:hAnsi="Arial Bold" w:cs="Arial Bold"/>
          <w:b/>
          <w:color w:val="000000"/>
          <w:sz w:val="24"/>
          <w:szCs w:val="24"/>
        </w:rPr>
        <w:t xml:space="preserve"> if the Supplier breaches its pension obligations</w:t>
      </w:r>
    </w:p>
    <w:p w14:paraId="54050702"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14:paraId="5FEAC126"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If the Buyer is entitled to terminate the Contract or the Supplier (or its Sub-contractor, if relevant) ceases to participate in the NHSPS for whatever other reason, the</w:t>
      </w:r>
      <w:r>
        <w:rPr>
          <w:rFonts w:ascii="Arial" w:eastAsia="Arial" w:hAnsi="Arial"/>
          <w:i/>
          <w:color w:val="000000"/>
          <w:sz w:val="24"/>
          <w:szCs w:val="24"/>
        </w:rPr>
        <w:t xml:space="preserve"> </w:t>
      </w:r>
      <w:r>
        <w:rPr>
          <w:rFonts w:ascii="Arial" w:eastAsia="Arial" w:hAnsi="Arial"/>
          <w:color w:val="000000"/>
          <w:sz w:val="24"/>
          <w:szCs w:val="24"/>
        </w:rPr>
        <w:t>Buyer</w:t>
      </w:r>
      <w:r>
        <w:rPr>
          <w:rFonts w:ascii="Arial" w:eastAsia="Arial" w:hAnsi="Arial"/>
          <w:i/>
          <w:color w:val="000000"/>
          <w:sz w:val="24"/>
          <w:szCs w:val="24"/>
        </w:rPr>
        <w:t xml:space="preserve"> </w:t>
      </w:r>
      <w:r>
        <w:rPr>
          <w:rFonts w:ascii="Arial" w:eastAsia="Arial" w:hAnsi="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14:paraId="4C00BE73"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In addition to the Buyer's</w:t>
      </w:r>
      <w:r>
        <w:rPr>
          <w:rFonts w:ascii="Arial" w:eastAsia="Arial" w:hAnsi="Arial"/>
          <w:i/>
          <w:color w:val="000000"/>
          <w:sz w:val="24"/>
          <w:szCs w:val="24"/>
        </w:rPr>
        <w:t xml:space="preserve"> </w:t>
      </w:r>
      <w:r>
        <w:rPr>
          <w:rFonts w:ascii="Arial" w:eastAsia="Arial" w:hAnsi="Arial"/>
          <w:color w:val="000000"/>
          <w:sz w:val="24"/>
          <w:szCs w:val="24"/>
        </w:rPr>
        <w:t>right to terminate the Contract, if the Buyer is notified by NHS Pensions of any NHS Pension Scheme Arrears, the Buyer will be entitled to deduct all or part of those arrears from any amount due to be paid under this Contract or otherwise.</w:t>
      </w:r>
    </w:p>
    <w:p w14:paraId="53970DFB"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6500259B" w14:textId="77777777" w:rsidR="00C565B9" w:rsidRDefault="00B06A6C">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If the Supplier (or its Sub-contractor, if relevant) is unable to provide the NHSPS Eligible Employees with either: </w:t>
      </w:r>
    </w:p>
    <w:p w14:paraId="51AF99D4"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 xml:space="preserve">membership of the NHSPS (having used its best endeavours to secure a Direction Letter); or </w:t>
      </w:r>
    </w:p>
    <w:p w14:paraId="58AD30C8"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 xml:space="preserve">access to a Broadly Comparable pension scheme, </w:t>
      </w:r>
    </w:p>
    <w:p w14:paraId="07354F89" w14:textId="77777777" w:rsidR="00C565B9" w:rsidRDefault="00B06A6C">
      <w:pPr>
        <w:tabs>
          <w:tab w:val="left" w:pos="709"/>
        </w:tabs>
        <w:spacing w:before="120" w:after="120"/>
        <w:ind w:left="993"/>
        <w:jc w:val="left"/>
        <w:rPr>
          <w:rFonts w:ascii="Arial" w:eastAsia="Arial" w:hAnsi="Arial"/>
          <w:sz w:val="24"/>
          <w:szCs w:val="24"/>
        </w:rPr>
      </w:pPr>
      <w:r>
        <w:rPr>
          <w:rFonts w:ascii="Arial" w:eastAsia="Arial" w:hAnsi="Arial"/>
          <w:sz w:val="24"/>
          <w:szCs w:val="24"/>
        </w:rPr>
        <w:lastRenderedPageBreak/>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level of compensation offered is reasonable in the circumstances.</w:t>
      </w:r>
    </w:p>
    <w:p w14:paraId="2338FD4F"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0" w:name="_heading=h.sqyw64" w:colFirst="0" w:colLast="0"/>
      <w:bookmarkEnd w:id="6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5C5A7E90" w14:textId="77777777" w:rsidR="00C565B9" w:rsidRDefault="00B06A6C">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16B6435D"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1" w:name="_heading=h.3cqmetx" w:colFirst="0" w:colLast="0"/>
      <w:bookmarkEnd w:id="61"/>
      <w:r>
        <w:rPr>
          <w:rFonts w:ascii="Arial" w:eastAsia="Arial" w:hAnsi="Arial"/>
          <w:color w:val="000000"/>
          <w:sz w:val="24"/>
          <w:szCs w:val="24"/>
        </w:rPr>
        <w:t>The Supplier must indemnify and keep indemnified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14:paraId="69431396"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2" w:name="_heading=h.1rvwp1q" w:colFirst="0" w:colLast="0"/>
      <w:bookmarkEnd w:id="62"/>
      <w:r>
        <w:rPr>
          <w:rFonts w:ascii="Arial" w:eastAsia="Arial" w:hAnsi="Arial"/>
          <w:color w:val="000000"/>
          <w:sz w:val="24"/>
          <w:szCs w:val="24"/>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14:paraId="4D53424D"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Sub-Contractors</w:t>
      </w:r>
    </w:p>
    <w:p w14:paraId="0E235187" w14:textId="77777777" w:rsidR="00C565B9" w:rsidRDefault="00B06A6C">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14:paraId="7BFB5B71"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4" w:name="_heading=h.2r0uhxc" w:colFirst="0" w:colLast="0"/>
      <w:bookmarkEnd w:id="64"/>
      <w:r>
        <w:rPr>
          <w:rFonts w:ascii="Arial" w:eastAsia="Arial" w:hAnsi="Arial"/>
          <w:color w:val="000000"/>
          <w:sz w:val="24"/>
          <w:szCs w:val="24"/>
        </w:rPr>
        <w:t>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14:paraId="74EFEF1D"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5" w:name="_heading=h.1664s55" w:colFirst="0" w:colLast="0"/>
      <w:bookmarkEnd w:id="65"/>
      <w:r>
        <w:rPr>
          <w:rFonts w:ascii="Arial" w:eastAsia="Arial" w:hAnsi="Arial"/>
          <w:color w:val="000000"/>
          <w:sz w:val="24"/>
          <w:szCs w:val="24"/>
        </w:rPr>
        <w:t>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14:paraId="33B52F7C"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6" w:name="_heading=h.3q5sasy" w:colFirst="0" w:colLast="0"/>
      <w:bookmarkEnd w:id="66"/>
      <w:r>
        <w:rPr>
          <w:rFonts w:ascii="Arial" w:eastAsia="Arial" w:hAnsi="Arial"/>
          <w:color w:val="000000"/>
          <w:sz w:val="24"/>
          <w:szCs w:val="24"/>
        </w:rPr>
        <w:lastRenderedPageBreak/>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14:paraId="48EB7CF1" w14:textId="77777777" w:rsidR="00C565B9" w:rsidRDefault="00C565B9">
      <w:pPr>
        <w:jc w:val="left"/>
        <w:rPr>
          <w:rFonts w:ascii="Arial" w:eastAsia="Arial" w:hAnsi="Arial"/>
          <w:sz w:val="24"/>
          <w:szCs w:val="24"/>
        </w:rPr>
      </w:pPr>
    </w:p>
    <w:p w14:paraId="0D24FBAD" w14:textId="77777777" w:rsidR="00C565B9" w:rsidRDefault="00B06A6C">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5ED7D252" w14:textId="77777777" w:rsidR="00C565B9" w:rsidRDefault="00B06A6C">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18AC6FA7" w14:textId="77777777" w:rsidR="00C565B9" w:rsidRDefault="00B06A6C">
      <w:pPr>
        <w:jc w:val="left"/>
        <w:rPr>
          <w:rFonts w:ascii="Arial" w:eastAsia="Arial" w:hAnsi="Arial"/>
          <w:sz w:val="24"/>
          <w:szCs w:val="24"/>
        </w:rPr>
      </w:pPr>
      <w:r>
        <w:rPr>
          <w:rFonts w:ascii="Arial" w:eastAsia="Arial" w:hAnsi="Arial"/>
          <w:b/>
          <w:sz w:val="24"/>
          <w:szCs w:val="24"/>
          <w:highlight w:val="yellow"/>
        </w:rPr>
        <w:t xml:space="preserve">[Guidance: </w:t>
      </w:r>
      <w:r>
        <w:rPr>
          <w:rFonts w:ascii="Arial" w:eastAsia="Arial" w:hAnsi="Arial"/>
          <w:sz w:val="24"/>
          <w:szCs w:val="24"/>
        </w:rPr>
        <w:t>Note the LGPS unlike the CSPS &amp; NHSPS is a funded scheme which has associated cost implications as follows:</w:t>
      </w:r>
    </w:p>
    <w:p w14:paraId="2A4427AC" w14:textId="77777777" w:rsidR="00C565B9" w:rsidRDefault="00B06A6C">
      <w:pPr>
        <w:jc w:val="left"/>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Authority, it is important to identify the correct one(s) and amend the definition of "Fund" accordingly.</w:t>
      </w:r>
    </w:p>
    <w:p w14:paraId="13B2A856" w14:textId="77777777" w:rsidR="00C565B9" w:rsidRDefault="00B06A6C">
      <w:pPr>
        <w:jc w:val="left"/>
        <w:rPr>
          <w:rFonts w:ascii="Arial" w:eastAsia="Arial" w:hAnsi="Arial"/>
          <w:sz w:val="24"/>
          <w:szCs w:val="24"/>
        </w:rPr>
      </w:pPr>
      <w:r>
        <w:rPr>
          <w:rFonts w:ascii="Arial" w:eastAsia="Arial" w:hAnsi="Arial"/>
          <w:sz w:val="24"/>
          <w:szCs w:val="24"/>
        </w:rPr>
        <w:t xml:space="preserve">It is important to check whether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7F09D38" w14:textId="77777777" w:rsidR="00C565B9" w:rsidRDefault="00B06A6C">
      <w:pPr>
        <w:jc w:val="left"/>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74CC4D19" w14:textId="77777777" w:rsidR="00C565B9" w:rsidRDefault="00B06A6C">
      <w:pPr>
        <w:keepNext/>
        <w:numPr>
          <w:ilvl w:val="0"/>
          <w:numId w:val="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5CB6BD87" w14:textId="77777777" w:rsidR="00C565B9" w:rsidRDefault="00B06A6C">
      <w:pPr>
        <w:keepNext/>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C565B9" w14:paraId="0B07351D" w14:textId="77777777">
        <w:trPr>
          <w:trHeight w:val="640"/>
        </w:trPr>
        <w:tc>
          <w:tcPr>
            <w:tcW w:w="2635" w:type="dxa"/>
            <w:shd w:val="clear" w:color="auto" w:fill="auto"/>
          </w:tcPr>
          <w:p w14:paraId="6991D136"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Authority</w:t>
            </w:r>
            <w:r>
              <w:rPr>
                <w:rFonts w:ascii="Arial" w:eastAsia="Arial" w:hAnsi="Arial"/>
                <w:sz w:val="24"/>
                <w:szCs w:val="24"/>
              </w:rPr>
              <w:t>"</w:t>
            </w:r>
          </w:p>
        </w:tc>
        <w:tc>
          <w:tcPr>
            <w:tcW w:w="6391" w:type="dxa"/>
            <w:shd w:val="clear" w:color="auto" w:fill="auto"/>
          </w:tcPr>
          <w:p w14:paraId="1A13F769" w14:textId="77777777" w:rsidR="00C565B9" w:rsidRDefault="00B06A6C">
            <w:pPr>
              <w:jc w:val="left"/>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Authority of that Fund for the purposes of the Local Government Pension Scheme Regulations 2013;</w:t>
            </w:r>
          </w:p>
        </w:tc>
      </w:tr>
      <w:tr w:rsidR="00C565B9" w14:paraId="09662519" w14:textId="77777777">
        <w:trPr>
          <w:trHeight w:val="640"/>
        </w:trPr>
        <w:tc>
          <w:tcPr>
            <w:tcW w:w="2635" w:type="dxa"/>
            <w:shd w:val="clear" w:color="auto" w:fill="auto"/>
          </w:tcPr>
          <w:p w14:paraId="2E8D5554"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7F0F4F67" w14:textId="77777777" w:rsidR="00C565B9" w:rsidRDefault="00B06A6C">
            <w:pPr>
              <w:jc w:val="left"/>
              <w:rPr>
                <w:rFonts w:ascii="Arial" w:eastAsia="Arial" w:hAnsi="Arial"/>
                <w:sz w:val="24"/>
                <w:szCs w:val="24"/>
              </w:rPr>
            </w:pPr>
            <w:r>
              <w:rPr>
                <w:rFonts w:ascii="Arial" w:eastAsia="Arial" w:hAnsi="Arial"/>
                <w:sz w:val="24"/>
                <w:szCs w:val="24"/>
              </w:rPr>
              <w:t>the actuary to a Fund appointed by the Administering Authority of that Fund;</w:t>
            </w:r>
          </w:p>
        </w:tc>
      </w:tr>
      <w:tr w:rsidR="00C565B9" w14:paraId="3A1B7766" w14:textId="77777777">
        <w:trPr>
          <w:trHeight w:val="320"/>
        </w:trPr>
        <w:tc>
          <w:tcPr>
            <w:tcW w:w="2635" w:type="dxa"/>
            <w:shd w:val="clear" w:color="auto" w:fill="auto"/>
          </w:tcPr>
          <w:p w14:paraId="2EA9DB2B"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4549C51B" w14:textId="77777777" w:rsidR="00C565B9" w:rsidRDefault="00B06A6C">
            <w:pPr>
              <w:jc w:val="left"/>
              <w:rPr>
                <w:rFonts w:ascii="Arial" w:eastAsia="Arial" w:hAnsi="Arial"/>
                <w:b/>
                <w:sz w:val="24"/>
                <w:szCs w:val="24"/>
              </w:rPr>
            </w:pPr>
            <w:r>
              <w:rPr>
                <w:rFonts w:ascii="Arial" w:eastAsia="Arial" w:hAnsi="Arial"/>
                <w:b/>
                <w:sz w:val="24"/>
                <w:szCs w:val="24"/>
                <w:highlight w:val="yellow"/>
              </w:rPr>
              <w:t>[insert name], a pension fund within the LGPS;</w:t>
            </w:r>
          </w:p>
        </w:tc>
      </w:tr>
      <w:tr w:rsidR="00C565B9" w14:paraId="21355EDF" w14:textId="77777777">
        <w:trPr>
          <w:trHeight w:val="1260"/>
        </w:trPr>
        <w:tc>
          <w:tcPr>
            <w:tcW w:w="2635" w:type="dxa"/>
            <w:shd w:val="clear" w:color="auto" w:fill="auto"/>
          </w:tcPr>
          <w:p w14:paraId="4AC04EAF"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4E97661E" w14:textId="77777777" w:rsidR="00C565B9" w:rsidRDefault="00B06A6C">
            <w:pPr>
              <w:jc w:val="left"/>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C565B9" w14:paraId="63F60000" w14:textId="77777777">
        <w:trPr>
          <w:trHeight w:val="980"/>
        </w:trPr>
        <w:tc>
          <w:tcPr>
            <w:tcW w:w="2635" w:type="dxa"/>
            <w:shd w:val="clear" w:color="auto" w:fill="auto"/>
          </w:tcPr>
          <w:p w14:paraId="17855FEA"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72BD51BF" w14:textId="77777777" w:rsidR="00C565B9" w:rsidRDefault="00B06A6C">
            <w:pPr>
              <w:jc w:val="left"/>
              <w:rPr>
                <w:rFonts w:ascii="Arial" w:eastAsia="Arial" w:hAnsi="Arial"/>
                <w:sz w:val="24"/>
                <w:szCs w:val="24"/>
              </w:rPr>
            </w:pPr>
            <w:r>
              <w:rPr>
                <w:rFonts w:ascii="Arial" w:eastAsia="Arial" w:hAnsi="Arial"/>
                <w:sz w:val="24"/>
                <w:szCs w:val="24"/>
              </w:rPr>
              <w:t>an admission agreement within the meaning  in Schedule 1 of the  Local Government Pension Scheme Regulations 2013;</w:t>
            </w:r>
          </w:p>
        </w:tc>
      </w:tr>
      <w:tr w:rsidR="00C565B9" w14:paraId="3C783A87" w14:textId="77777777">
        <w:trPr>
          <w:trHeight w:val="900"/>
        </w:trPr>
        <w:tc>
          <w:tcPr>
            <w:tcW w:w="2635" w:type="dxa"/>
            <w:shd w:val="clear" w:color="auto" w:fill="auto"/>
          </w:tcPr>
          <w:p w14:paraId="6F6AE454"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72C64CAB" w14:textId="77777777" w:rsidR="00C565B9" w:rsidRDefault="00B06A6C">
            <w:pPr>
              <w:jc w:val="left"/>
              <w:rPr>
                <w:rFonts w:ascii="Arial" w:eastAsia="Arial" w:hAnsi="Arial"/>
                <w:sz w:val="24"/>
                <w:szCs w:val="24"/>
              </w:rPr>
            </w:pPr>
            <w:r>
              <w:rPr>
                <w:rFonts w:ascii="Arial" w:eastAsia="Arial" w:hAnsi="Arial"/>
                <w:sz w:val="24"/>
                <w:szCs w:val="24"/>
              </w:rPr>
              <w:t>an admission body (within the meaning of Part 3 of Schedule 2 of the  Local Government Pension Scheme Regulations 2013);</w:t>
            </w:r>
          </w:p>
        </w:tc>
      </w:tr>
      <w:tr w:rsidR="00C565B9" w14:paraId="2F2F2666" w14:textId="77777777">
        <w:trPr>
          <w:trHeight w:val="900"/>
        </w:trPr>
        <w:tc>
          <w:tcPr>
            <w:tcW w:w="2635" w:type="dxa"/>
            <w:shd w:val="clear" w:color="auto" w:fill="auto"/>
          </w:tcPr>
          <w:p w14:paraId="6B6A1100" w14:textId="77777777" w:rsidR="00C565B9" w:rsidRDefault="00B06A6C">
            <w:pPr>
              <w:ind w:left="720"/>
              <w:jc w:val="left"/>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5F1B2389" w14:textId="77777777" w:rsidR="00C565B9" w:rsidRDefault="00B06A6C">
            <w:pPr>
              <w:jc w:val="left"/>
              <w:rPr>
                <w:rFonts w:ascii="Arial" w:eastAsia="Arial" w:hAnsi="Arial"/>
                <w:sz w:val="24"/>
                <w:szCs w:val="24"/>
              </w:rPr>
            </w:pPr>
            <w:r>
              <w:rPr>
                <w:rFonts w:ascii="Arial" w:eastAsia="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C565B9" w14:paraId="04C03BF6" w14:textId="77777777">
        <w:trPr>
          <w:trHeight w:val="1660"/>
        </w:trPr>
        <w:tc>
          <w:tcPr>
            <w:tcW w:w="2635" w:type="dxa"/>
            <w:shd w:val="clear" w:color="auto" w:fill="auto"/>
          </w:tcPr>
          <w:p w14:paraId="3EE0D28C" w14:textId="77777777" w:rsidR="00C565B9" w:rsidRDefault="00B06A6C">
            <w:pPr>
              <w:spacing w:after="0"/>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51FA273D" w14:textId="77777777" w:rsidR="00C565B9" w:rsidRDefault="00B06A6C">
            <w:pPr>
              <w:spacing w:after="0"/>
              <w:jc w:val="left"/>
              <w:rPr>
                <w:rFonts w:ascii="Arial" w:eastAsia="Arial" w:hAnsi="Arial"/>
                <w:sz w:val="24"/>
                <w:szCs w:val="24"/>
              </w:rPr>
            </w:pPr>
            <w:r>
              <w:rPr>
                <w:rFonts w:ascii="Arial" w:eastAsia="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5DC8F5F3" w14:textId="77777777" w:rsidR="00C565B9" w:rsidRDefault="00B06A6C">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Supplier must become a LGPS admission body </w:t>
      </w:r>
    </w:p>
    <w:p w14:paraId="01906437"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7" w:name="_heading=h.25b2l0r" w:colFirst="0" w:colLast="0"/>
      <w:bookmarkEnd w:id="67"/>
      <w:r>
        <w:rPr>
          <w:rFonts w:ascii="Arial" w:eastAsia="Arial" w:hAnsi="Arial"/>
          <w:color w:val="000000"/>
          <w:sz w:val="24"/>
          <w:szCs w:val="24"/>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1B614BE7"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7EA9A00D"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any indemnity, bond or guarantee required by an Administering Authority in relation to an LGPS Admission Agreement. </w:t>
      </w:r>
    </w:p>
    <w:p w14:paraId="4C6E14D6"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not automatically enrol or re-enrol for the purposes of the Pensions Act 2008 any LGPS Eligible Employees in any pension scheme other than the LGPS.</w:t>
      </w:r>
    </w:p>
    <w:p w14:paraId="36222C96" w14:textId="77777777" w:rsidR="00C565B9" w:rsidRDefault="00B06A6C">
      <w:pPr>
        <w:keepNext/>
        <w:numPr>
          <w:ilvl w:val="0"/>
          <w:numId w:val="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Right of set-off </w:t>
      </w:r>
    </w:p>
    <w:p w14:paraId="58153DF9" w14:textId="77777777" w:rsidR="00C565B9" w:rsidRDefault="00B06A6C">
      <w:pPr>
        <w:ind w:left="357"/>
        <w:jc w:val="left"/>
        <w:rPr>
          <w:rFonts w:ascii="Arial" w:eastAsia="Arial" w:hAnsi="Arial"/>
          <w:sz w:val="24"/>
          <w:szCs w:val="24"/>
        </w:rPr>
      </w:pPr>
      <w:bookmarkStart w:id="68" w:name="_heading=h.kgcv8k" w:colFirst="0" w:colLast="0"/>
      <w:bookmarkEnd w:id="68"/>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14:paraId="41F75E3C" w14:textId="77777777" w:rsidR="00C565B9" w:rsidRDefault="00B06A6C">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69" w:name="_heading=h.34g0dwd" w:colFirst="0" w:colLast="0"/>
      <w:bookmarkEnd w:id="69"/>
      <w:r>
        <w:rPr>
          <w:rFonts w:ascii="Arial Bold" w:eastAsia="Arial Bold" w:hAnsi="Arial Bold" w:cs="Arial Bold"/>
          <w:b/>
          <w:color w:val="000000"/>
          <w:sz w:val="24"/>
          <w:szCs w:val="24"/>
        </w:rPr>
        <w:t>Supplier ceases to be an LGPS Admission Body</w:t>
      </w:r>
    </w:p>
    <w:p w14:paraId="49E70966" w14:textId="77777777" w:rsidR="00C565B9" w:rsidRDefault="00B06A6C">
      <w:pPr>
        <w:ind w:left="357"/>
        <w:jc w:val="left"/>
        <w:rPr>
          <w:rFonts w:ascii="Arial" w:eastAsia="Arial" w:hAnsi="Arial"/>
          <w:sz w:val="24"/>
          <w:szCs w:val="24"/>
        </w:rPr>
      </w:pPr>
      <w:bookmarkStart w:id="70" w:name="_heading=h.1jlao46" w:colFirst="0" w:colLast="0"/>
      <w:bookmarkEnd w:id="70"/>
      <w:r>
        <w:rPr>
          <w:rFonts w:ascii="Arial" w:eastAsia="Arial" w:hAnsi="Arial"/>
          <w:sz w:val="24"/>
          <w:szCs w:val="24"/>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14:paraId="3F607395" w14:textId="77777777" w:rsidR="00C565B9" w:rsidRDefault="00B06A6C">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1" w:name="_heading=h.43ky6rz" w:colFirst="0" w:colLast="0"/>
      <w:bookmarkEnd w:id="71"/>
      <w:r>
        <w:rPr>
          <w:rFonts w:ascii="Arial Bold" w:eastAsia="Arial Bold" w:hAnsi="Arial Bold" w:cs="Arial Bold"/>
          <w:b/>
          <w:color w:val="000000"/>
          <w:sz w:val="24"/>
          <w:szCs w:val="24"/>
        </w:rPr>
        <w:lastRenderedPageBreak/>
        <w:t xml:space="preserve">Discretionary benefits </w:t>
      </w:r>
    </w:p>
    <w:p w14:paraId="723EF9B0" w14:textId="77777777" w:rsidR="00C565B9" w:rsidRDefault="00B06A6C">
      <w:pPr>
        <w:ind w:left="357"/>
        <w:jc w:val="left"/>
        <w:rPr>
          <w:rFonts w:ascii="Arial" w:eastAsia="Arial" w:hAnsi="Arial"/>
          <w:sz w:val="24"/>
          <w:szCs w:val="24"/>
        </w:rPr>
      </w:pPr>
      <w:bookmarkStart w:id="72" w:name="_heading=h.2iq8gzs" w:colFirst="0" w:colLast="0"/>
      <w:bookmarkEnd w:id="72"/>
      <w:r>
        <w:rPr>
          <w:rFonts w:ascii="Arial" w:eastAsia="Arial" w:hAnsi="Arial"/>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14:paraId="74FDB79D" w14:textId="77777777" w:rsidR="00C565B9" w:rsidRDefault="00B06A6C">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Annex D4: Other Schemes</w:t>
      </w:r>
    </w:p>
    <w:p w14:paraId="447A0AC8" w14:textId="77777777" w:rsidR="00C565B9" w:rsidRDefault="00B06A6C">
      <w:pPr>
        <w:jc w:val="left"/>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18FC612B" w14:textId="77777777" w:rsidR="00C565B9" w:rsidRDefault="00B06A6C">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25285F2D" w14:textId="77777777" w:rsidR="00C565B9" w:rsidRDefault="00B06A6C">
      <w:pPr>
        <w:keepNext/>
        <w:numPr>
          <w:ilvl w:val="0"/>
          <w:numId w:val="6"/>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18D80FCD"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The Supplier agrees that within 20 Working Days of the earliest of:</w:t>
      </w:r>
    </w:p>
    <w:p w14:paraId="33E2E5C5"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receipt of a notification from the Buyer of a Service Transfer or intended Service Transfer; </w:t>
      </w:r>
    </w:p>
    <w:p w14:paraId="2295762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 xml:space="preserve">receipt of the giving of notice of early termination or any Partial Termination of the relevant Contract; </w:t>
      </w:r>
    </w:p>
    <w:p w14:paraId="5AE3A4B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6A32F0C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3F4CA6AA" w14:textId="77777777" w:rsidR="00C565B9" w:rsidRDefault="00B06A6C">
      <w:pPr>
        <w:pBdr>
          <w:top w:val="nil"/>
          <w:left w:val="nil"/>
          <w:bottom w:val="nil"/>
          <w:right w:val="nil"/>
          <w:between w:val="nil"/>
        </w:pBdr>
        <w:ind w:left="992" w:hanging="709"/>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AA29874"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4ABF8C08"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316BEC58"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1456B2DB"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14:paraId="5D182897" w14:textId="77777777" w:rsidR="00C565B9" w:rsidRDefault="00C565B9">
      <w:pPr>
        <w:pBdr>
          <w:top w:val="nil"/>
          <w:left w:val="nil"/>
          <w:bottom w:val="nil"/>
          <w:right w:val="nil"/>
          <w:between w:val="nil"/>
        </w:pBdr>
        <w:spacing w:before="120" w:after="120"/>
        <w:ind w:left="2214" w:hanging="807"/>
        <w:jc w:val="left"/>
        <w:rPr>
          <w:rFonts w:ascii="Arial" w:eastAsia="Arial" w:hAnsi="Arial"/>
          <w:b/>
          <w:smallCaps/>
          <w:color w:val="000000"/>
          <w:sz w:val="24"/>
          <w:szCs w:val="24"/>
        </w:rPr>
      </w:pPr>
    </w:p>
    <w:p w14:paraId="02DA0911" w14:textId="77777777" w:rsidR="00C565B9" w:rsidRDefault="00B06A6C">
      <w:pPr>
        <w:pBdr>
          <w:top w:val="nil"/>
          <w:left w:val="nil"/>
          <w:bottom w:val="nil"/>
          <w:right w:val="nil"/>
          <w:between w:val="nil"/>
        </w:pBdr>
        <w:spacing w:before="120" w:after="120"/>
        <w:ind w:left="2214" w:hanging="807"/>
        <w:jc w:val="left"/>
        <w:rPr>
          <w:rFonts w:ascii="Arial" w:eastAsia="Arial" w:hAnsi="Arial"/>
          <w:color w:val="000000"/>
          <w:sz w:val="24"/>
          <w:szCs w:val="24"/>
        </w:rPr>
      </w:pPr>
      <w:r>
        <w:rPr>
          <w:rFonts w:ascii="Arial" w:eastAsia="Arial" w:hAnsi="Arial"/>
          <w:color w:val="000000"/>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19A8D59" w14:textId="77777777" w:rsidR="00C565B9" w:rsidRDefault="00B06A6C">
      <w:pPr>
        <w:pBdr>
          <w:top w:val="nil"/>
          <w:left w:val="nil"/>
          <w:bottom w:val="nil"/>
          <w:right w:val="nil"/>
          <w:between w:val="nil"/>
        </w:pBdr>
        <w:spacing w:before="120" w:after="120"/>
        <w:ind w:left="993" w:hanging="807"/>
        <w:jc w:val="left"/>
        <w:rPr>
          <w:rFonts w:ascii="Arial" w:eastAsia="Arial" w:hAnsi="Arial"/>
          <w:color w:val="000000"/>
          <w:sz w:val="24"/>
          <w:szCs w:val="24"/>
        </w:rPr>
      </w:pPr>
      <w:r>
        <w:rPr>
          <w:rFonts w:ascii="Arial" w:eastAsia="Arial" w:hAnsi="Arial"/>
          <w:color w:val="000000"/>
          <w:sz w:val="24"/>
          <w:szCs w:val="24"/>
        </w:rPr>
        <w:t xml:space="preserve">not make, promise, propose, permit or implement any material changes to the terms and conditions of (i) employment and/or (ii) pensions, retirement and death benefits (including not to make pensionable any category of earnings which </w:t>
      </w:r>
      <w:r>
        <w:rPr>
          <w:rFonts w:ascii="Arial" w:eastAsia="Arial" w:hAnsi="Arial"/>
          <w:color w:val="000000"/>
          <w:sz w:val="24"/>
          <w:szCs w:val="24"/>
        </w:rPr>
        <w:lastRenderedPageBreak/>
        <w:t xml:space="preserve">were not previously pensionable or reduce the pension contributions payable) of the Supplier Personnel (including any payments connected with the termination of employment); </w:t>
      </w:r>
    </w:p>
    <w:p w14:paraId="212D3D58"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the proportion of working time spent on the Services (or the relevant part of the Services) by any of the Supplier Personnel save for fulfilling assignments and projects previously scheduled and agreed;</w:t>
      </w:r>
    </w:p>
    <w:p w14:paraId="5F97114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introduce any new contractual or customary practice concerning the making of any lump sum payment on the termination of employment of any employees listed on the Supplier's Provisional Supplier Personnel List;</w:t>
      </w:r>
    </w:p>
    <w:p w14:paraId="417FE12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or reduce the total number of employees so engaged, or deploy any other person to perform the Services (or the relevant part of the Services);</w:t>
      </w:r>
    </w:p>
    <w:p w14:paraId="61EE327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terminate or give notice to terminate the employment or contracts of any persons on the Supplier's Provisional Supplier Personnel List save by due disciplinary process;</w:t>
      </w:r>
    </w:p>
    <w:p w14:paraId="0A13FFF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dissuade or discourage any employees engaged in the provision of the Services from transferring their employment to the Buyer and/or the Replacement Supplier and/or Replacement Sub-contractor;</w:t>
      </w:r>
    </w:p>
    <w:p w14:paraId="3C505C2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71ED57A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3948A70B"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333D10C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48B8D26B"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to adversely affect pension rights accrued by all and any Fair Deal Employees in the period ending on the Service Transfer Date; </w:t>
      </w:r>
    </w:p>
    <w:p w14:paraId="756D3AF2"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fully fund any Broadly Comparable pension schemes set up by the Supplier;</w:t>
      </w:r>
    </w:p>
    <w:p w14:paraId="7A7B3B3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649B9CF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provide to the Buyer such documents and information mentioned in Paragraph 3.1.1 of Part D: Pensions which the Buyer may reasonably request in advance of the expiry or termination of this Contract; and</w:t>
      </w:r>
    </w:p>
    <w:p w14:paraId="40E2D1C1"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5895C143"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0424139D"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7113391"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69F43118"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Fair Deal Schemes (as defined in Part D: Pensions); and</w:t>
      </w:r>
    </w:p>
    <w:p w14:paraId="580C437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9849BE5"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1F5D8978"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most recent month's copy pay slip data;</w:t>
      </w:r>
    </w:p>
    <w:p w14:paraId="626F7BE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69F27AA1"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details of cumulative tax paid;</w:t>
      </w:r>
    </w:p>
    <w:p w14:paraId="1657678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14:paraId="322B753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14:paraId="483DA52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7FF512D7" w14:textId="77777777" w:rsidR="00C565B9" w:rsidRDefault="00B06A6C">
      <w:pPr>
        <w:keepNext/>
        <w:numPr>
          <w:ilvl w:val="0"/>
          <w:numId w:val="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77E0CE38"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06542DF6"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6673F455"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0971430A"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8" w:name="_heading=h.1baon6m" w:colFirst="0" w:colLast="0"/>
      <w:bookmarkEnd w:id="78"/>
      <w:r>
        <w:rPr>
          <w:rFonts w:ascii="Arial" w:eastAsia="Arial" w:hAnsi="Arial"/>
          <w:color w:val="000000"/>
          <w:sz w:val="24"/>
          <w:szCs w:val="24"/>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14:paraId="59258829"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9" w:name="_heading=h.3vac5uf" w:colFirst="0" w:colLast="0"/>
      <w:bookmarkEnd w:id="79"/>
      <w:r>
        <w:rPr>
          <w:rFonts w:ascii="Arial" w:eastAsia="Arial" w:hAnsi="Arial"/>
          <w:color w:val="000000"/>
          <w:sz w:val="24"/>
          <w:szCs w:val="24"/>
        </w:rPr>
        <w:t>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14:paraId="0FE56936"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0" w:name="_heading=h.2afmg28" w:colFirst="0" w:colLast="0"/>
      <w:bookmarkEnd w:id="80"/>
      <w:r>
        <w:rPr>
          <w:rFonts w:ascii="Arial" w:eastAsia="Arial" w:hAnsi="Arial"/>
          <w:color w:val="000000"/>
          <w:sz w:val="24"/>
          <w:szCs w:val="24"/>
        </w:rPr>
        <w:t>the Replacement Supplier and/or Replacement Sub-contractor will, within 5 Working Days of becoming aware of that fact, notify the Buyer and the Supplier in writing;</w:t>
      </w:r>
    </w:p>
    <w:p w14:paraId="6F01E7B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1" w:name="_heading=h.pkwqa1" w:colFirst="0" w:colLast="0"/>
      <w:bookmarkEnd w:id="81"/>
      <w:r>
        <w:rPr>
          <w:rFonts w:ascii="Arial" w:eastAsia="Arial" w:hAnsi="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14:paraId="3722A8E0"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if such offer of employment is accepted, the Replacement Supplier and/or Replacement Sub-contractor shall immediately release the person from its employment;</w:t>
      </w:r>
    </w:p>
    <w:p w14:paraId="47B5741D"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2" w:name="_heading=h.39kk8xu" w:colFirst="0" w:colLast="0"/>
      <w:bookmarkEnd w:id="82"/>
      <w:r>
        <w:rPr>
          <w:rFonts w:ascii="Arial" w:eastAsia="Arial" w:hAnsi="Arial"/>
          <w:color w:val="000000"/>
          <w:sz w:val="24"/>
          <w:szCs w:val="24"/>
        </w:rPr>
        <w:t>if after the period referred to in Paragraph 2.5.2 no such offer has been made, or such offer has been made but not accepted, the Replacement Supplier and/or Replacement Sub-contractor may within 5 Working Days give notice to terminate the employment of such person;</w:t>
      </w:r>
    </w:p>
    <w:p w14:paraId="1734551A" w14:textId="77777777" w:rsidR="00C565B9" w:rsidRDefault="00B06A6C">
      <w:pPr>
        <w:pStyle w:val="Heading3"/>
        <w:keepLines w:val="0"/>
        <w:ind w:left="993"/>
        <w:jc w:val="left"/>
        <w:rPr>
          <w:rFonts w:ascii="Arial" w:eastAsia="Arial" w:hAnsi="Arial"/>
          <w:sz w:val="24"/>
          <w:szCs w:val="24"/>
        </w:rPr>
      </w:pPr>
      <w:r>
        <w:rPr>
          <w:rFonts w:ascii="Arial" w:eastAsia="Arial" w:hAnsi="Arial"/>
          <w:sz w:val="24"/>
          <w:szCs w:val="24"/>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14:paraId="4DB194BF"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3" w:name="_heading=h.1opuj5n" w:colFirst="0" w:colLast="0"/>
      <w:bookmarkEnd w:id="83"/>
      <w:r>
        <w:rPr>
          <w:rFonts w:ascii="Arial" w:eastAsia="Arial" w:hAnsi="Arial"/>
          <w:color w:val="000000"/>
          <w:sz w:val="24"/>
          <w:szCs w:val="24"/>
        </w:rPr>
        <w:t>The indemnity in Paragraph 2.5 shall not apply to:</w:t>
      </w:r>
    </w:p>
    <w:p w14:paraId="30A4361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26BC9808"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Replacement Supplier and/or Replacement Sub-contractor neglected to follow a fair dismissal procedure.</w:t>
      </w:r>
    </w:p>
    <w:p w14:paraId="2C2125CD"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4" w:name="_heading=h.48pi1tg" w:colFirst="0" w:colLast="0"/>
      <w:bookmarkEnd w:id="84"/>
      <w:r>
        <w:rPr>
          <w:rFonts w:ascii="Arial" w:eastAsia="Arial" w:hAnsi="Arial"/>
          <w:color w:val="000000"/>
          <w:sz w:val="24"/>
          <w:szCs w:val="24"/>
        </w:rPr>
        <w:t>The indemnity in Paragraph 2.5 shall not apply to any termination of employment occurring later than 3 Months from the Service Transfer Date.</w:t>
      </w:r>
    </w:p>
    <w:p w14:paraId="0EB3FA79"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299CB4FF"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5" w:name="_heading=h.2nusc19" w:colFirst="0" w:colLast="0"/>
      <w:bookmarkEnd w:id="85"/>
      <w:r>
        <w:rPr>
          <w:rFonts w:ascii="Arial" w:eastAsia="Arial" w:hAnsi="Arial"/>
          <w:color w:val="000000"/>
          <w:sz w:val="24"/>
          <w:szCs w:val="24"/>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BD86796"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6" w:name="_heading=h.1302m92" w:colFirst="0" w:colLast="0"/>
      <w:bookmarkEnd w:id="86"/>
      <w:r>
        <w:rPr>
          <w:rFonts w:ascii="Arial" w:eastAsia="Arial" w:hAnsi="Arial"/>
          <w:color w:val="000000"/>
          <w:sz w:val="24"/>
          <w:szCs w:val="24"/>
        </w:rPr>
        <w:t xml:space="preserve">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w:t>
      </w:r>
      <w:r>
        <w:rPr>
          <w:rFonts w:ascii="Arial" w:eastAsia="Arial" w:hAnsi="Arial"/>
          <w:color w:val="000000"/>
          <w:sz w:val="24"/>
          <w:szCs w:val="24"/>
        </w:rPr>
        <w:lastRenderedPageBreak/>
        <w:t>appropriate employee representative (as defined in the Employment Regulations) of any such Transferring Supplier Employee.</w:t>
      </w:r>
    </w:p>
    <w:p w14:paraId="380AD43D"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14:paraId="127CED9F" w14:textId="77777777" w:rsidR="00C565B9" w:rsidRDefault="00C565B9">
      <w:pPr>
        <w:keepNext/>
        <w:pBdr>
          <w:top w:val="nil"/>
          <w:left w:val="nil"/>
          <w:bottom w:val="nil"/>
          <w:right w:val="nil"/>
          <w:between w:val="nil"/>
        </w:pBdr>
        <w:spacing w:before="120"/>
        <w:ind w:left="357" w:hanging="357"/>
        <w:rPr>
          <w:rFonts w:eastAsia="Calibri" w:cs="Calibri"/>
          <w:b/>
          <w:smallCaps/>
          <w:color w:val="000000"/>
        </w:rPr>
        <w:sectPr w:rsidR="00C565B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5DB4AED9" w14:textId="77777777" w:rsidR="00C565B9" w:rsidRDefault="00C565B9">
      <w:pPr>
        <w:keepNext/>
        <w:pBdr>
          <w:top w:val="nil"/>
          <w:left w:val="nil"/>
          <w:bottom w:val="nil"/>
          <w:right w:val="nil"/>
          <w:between w:val="nil"/>
        </w:pBdr>
        <w:spacing w:before="120"/>
        <w:ind w:left="357" w:hanging="357"/>
        <w:rPr>
          <w:rFonts w:eastAsia="Calibri" w:cs="Calibri"/>
          <w:b/>
          <w:smallCaps/>
          <w:color w:val="000000"/>
        </w:rPr>
      </w:pPr>
    </w:p>
    <w:sectPr w:rsidR="00C565B9">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C1BB2" w14:textId="77777777" w:rsidR="00B06A6C" w:rsidRDefault="00B06A6C">
      <w:pPr>
        <w:spacing w:after="0"/>
      </w:pPr>
      <w:r>
        <w:separator/>
      </w:r>
    </w:p>
  </w:endnote>
  <w:endnote w:type="continuationSeparator" w:id="0">
    <w:p w14:paraId="3FBA26B0" w14:textId="77777777" w:rsidR="00B06A6C" w:rsidRDefault="00B06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9275" w14:textId="77777777" w:rsidR="00C565B9" w:rsidRDefault="00B06A6C">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61A9635A"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C81C1F">
      <w:rPr>
        <w:rFonts w:ascii="Arial" w:eastAsia="Arial" w:hAnsi="Arial"/>
        <w:noProof/>
        <w:color w:val="BFBFBF"/>
        <w:sz w:val="20"/>
        <w:szCs w:val="20"/>
      </w:rPr>
      <w:t>1</w:t>
    </w:r>
    <w:r>
      <w:rPr>
        <w:rFonts w:ascii="Arial" w:eastAsia="Arial" w:hAnsi="Arial"/>
        <w:color w:val="BFBFBF"/>
        <w:sz w:val="20"/>
        <w:szCs w:val="20"/>
      </w:rPr>
      <w:fldChar w:fldCharType="end"/>
    </w:r>
  </w:p>
  <w:p w14:paraId="3A554D29" w14:textId="77777777" w:rsidR="00C565B9" w:rsidRDefault="00B06A6C">
    <w:pPr>
      <w:spacing w:after="0"/>
      <w:rPr>
        <w:rFonts w:ascii="Arial" w:eastAsia="Arial" w:hAnsi="Arial"/>
        <w:color w:val="A6A6A6"/>
        <w:sz w:val="20"/>
        <w:szCs w:val="20"/>
      </w:rPr>
    </w:pPr>
    <w:r>
      <w:rPr>
        <w:rFonts w:ascii="Arial" w:eastAsia="Arial" w:hAnsi="Arial"/>
        <w:color w:val="BFBFBF"/>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293BF" w14:textId="77777777" w:rsidR="00C565B9" w:rsidRDefault="00C565B9">
    <w:pPr>
      <w:tabs>
        <w:tab w:val="center" w:pos="4513"/>
        <w:tab w:val="right" w:pos="9026"/>
      </w:tabs>
      <w:spacing w:after="0"/>
      <w:rPr>
        <w:rFonts w:ascii="Arial" w:eastAsia="Arial" w:hAnsi="Arial"/>
        <w:color w:val="A6A6A6"/>
        <w:sz w:val="20"/>
        <w:szCs w:val="20"/>
      </w:rPr>
    </w:pPr>
  </w:p>
  <w:p w14:paraId="375AC03B" w14:textId="77777777" w:rsidR="00C565B9" w:rsidRDefault="00B06A6C">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2F8D79F7"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618CCD19" w14:textId="77777777" w:rsidR="00C565B9" w:rsidRDefault="00B06A6C">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49C9C" w14:textId="77777777" w:rsidR="00B06A6C" w:rsidRDefault="00B06A6C">
      <w:pPr>
        <w:spacing w:after="0"/>
      </w:pPr>
      <w:r>
        <w:separator/>
      </w:r>
    </w:p>
  </w:footnote>
  <w:footnote w:type="continuationSeparator" w:id="0">
    <w:p w14:paraId="394C1C55" w14:textId="77777777" w:rsidR="00B06A6C" w:rsidRDefault="00B06A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142A0" w14:textId="77777777" w:rsidR="00C565B9" w:rsidRDefault="00B06A6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7 (Staff Transfer)</w:t>
    </w:r>
  </w:p>
  <w:p w14:paraId="2045B3BE"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 Crown Copyright 2019 </w:t>
    </w:r>
  </w:p>
  <w:p w14:paraId="2D0D3BAB"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80FC"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p w14:paraId="61D83643"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p w14:paraId="3EA685C7"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56A3F"/>
    <w:multiLevelType w:val="multilevel"/>
    <w:tmpl w:val="6346D2B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 w15:restartNumberingAfterBreak="0">
    <w:nsid w:val="247C696C"/>
    <w:multiLevelType w:val="multilevel"/>
    <w:tmpl w:val="2B20F770"/>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252A6733"/>
    <w:multiLevelType w:val="multilevel"/>
    <w:tmpl w:val="B5B8040C"/>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28BA168A"/>
    <w:multiLevelType w:val="multilevel"/>
    <w:tmpl w:val="B2364AAC"/>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2AE00E88"/>
    <w:multiLevelType w:val="multilevel"/>
    <w:tmpl w:val="3EC4511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29F39B2"/>
    <w:multiLevelType w:val="multilevel"/>
    <w:tmpl w:val="28ACBDD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6" w15:restartNumberingAfterBreak="0">
    <w:nsid w:val="34321E59"/>
    <w:multiLevelType w:val="multilevel"/>
    <w:tmpl w:val="05363D7A"/>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3A290453"/>
    <w:multiLevelType w:val="multilevel"/>
    <w:tmpl w:val="326A58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FF55043"/>
    <w:multiLevelType w:val="multilevel"/>
    <w:tmpl w:val="B808895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65E3B21"/>
    <w:multiLevelType w:val="multilevel"/>
    <w:tmpl w:val="5CFA4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C6C17A3"/>
    <w:multiLevelType w:val="multilevel"/>
    <w:tmpl w:val="E122519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E8456F0"/>
    <w:multiLevelType w:val="multilevel"/>
    <w:tmpl w:val="06A8B86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5A85302"/>
    <w:multiLevelType w:val="multilevel"/>
    <w:tmpl w:val="7CEC0F0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669F2A1C"/>
    <w:multiLevelType w:val="multilevel"/>
    <w:tmpl w:val="7C265C7C"/>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8250E22"/>
    <w:multiLevelType w:val="multilevel"/>
    <w:tmpl w:val="E702B35E"/>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8C2231C"/>
    <w:multiLevelType w:val="multilevel"/>
    <w:tmpl w:val="57222900"/>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0A651F5"/>
    <w:multiLevelType w:val="multilevel"/>
    <w:tmpl w:val="D70EB33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3"/>
  </w:num>
  <w:num w:numId="2">
    <w:abstractNumId w:val="7"/>
  </w:num>
  <w:num w:numId="3">
    <w:abstractNumId w:val="11"/>
  </w:num>
  <w:num w:numId="4">
    <w:abstractNumId w:val="6"/>
  </w:num>
  <w:num w:numId="5">
    <w:abstractNumId w:val="14"/>
  </w:num>
  <w:num w:numId="6">
    <w:abstractNumId w:val="15"/>
  </w:num>
  <w:num w:numId="7">
    <w:abstractNumId w:val="3"/>
  </w:num>
  <w:num w:numId="8">
    <w:abstractNumId w:val="0"/>
  </w:num>
  <w:num w:numId="9">
    <w:abstractNumId w:val="9"/>
  </w:num>
  <w:num w:numId="10">
    <w:abstractNumId w:val="16"/>
  </w:num>
  <w:num w:numId="11">
    <w:abstractNumId w:val="4"/>
  </w:num>
  <w:num w:numId="12">
    <w:abstractNumId w:val="1"/>
  </w:num>
  <w:num w:numId="13">
    <w:abstractNumId w:val="2"/>
  </w:num>
  <w:num w:numId="14">
    <w:abstractNumId w:val="12"/>
  </w:num>
  <w:num w:numId="15">
    <w:abstractNumId w:val="8"/>
  </w:num>
  <w:num w:numId="16">
    <w:abstractNumId w:val="1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5B9"/>
    <w:rsid w:val="004D34E0"/>
    <w:rsid w:val="00634A14"/>
    <w:rsid w:val="00B06A6C"/>
    <w:rsid w:val="00C565B9"/>
    <w:rsid w:val="00C81C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78BF5"/>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numPr>
        <w:numId w:val="17"/>
      </w:numPr>
      <w:jc w:val="center"/>
      <w:outlineLvl w:val="0"/>
    </w:pPr>
    <w:rPr>
      <w:rFonts w:ascii="Trebuchet MS" w:eastAsia="Times New Roman" w:hAnsi="Trebuchet MS"/>
      <w:b/>
      <w:cap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numPr>
        <w:ilvl w:val="1"/>
        <w:numId w:val="17"/>
      </w:numPr>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numPr>
        <w:ilvl w:val="2"/>
        <w:numId w:val="17"/>
      </w:numPr>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rPr>
  </w:style>
  <w:style w:type="paragraph" w:customStyle="1" w:styleId="ScheduleNumber1">
    <w:name w:val="Schedule Number 1"/>
    <w:pPr>
      <w:keepNext/>
      <w:keepLines/>
      <w:tabs>
        <w:tab w:val="num" w:pos="360"/>
      </w:tabs>
      <w:spacing w:before="320" w:line="320" w:lineRule="atLeast"/>
    </w:pPr>
    <w:rPr>
      <w:rFonts w:ascii="Arial" w:eastAsia="Times New Roman" w:hAnsi="Arial"/>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pQ5kJ5DequuDXQBTzqUF+vXjQ==">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11258</Words>
  <Characters>64173</Characters>
  <Application>Microsoft Office Word</Application>
  <DocSecurity>0</DocSecurity>
  <Lines>534</Lines>
  <Paragraphs>150</Paragraphs>
  <ScaleCrop>false</ScaleCrop>
  <Company/>
  <LinksUpToDate>false</LinksUpToDate>
  <CharactersWithSpaces>75281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4</cp:revision>
  <dcterms:created xsi:type="dcterms:W3CDTF">2019-11-04T10:45:00Z</dcterms:created>
  <dcterms:modified xsi:type="dcterms:W3CDTF">2022-03-24T13:17:00Z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